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03E3" w14:textId="62D43F64" w:rsidR="00637152" w:rsidRPr="00552862" w:rsidRDefault="00EB1FB2" w:rsidP="00F35AC5">
      <w:pPr>
        <w:jc w:val="right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</w:rPr>
        <w:t>Pniewy</w:t>
      </w:r>
      <w:r w:rsidR="00637152" w:rsidRPr="00552862">
        <w:rPr>
          <w:rFonts w:ascii="Arial Nova Light" w:hAnsi="Arial Nova Light" w:cs="Times New Roman"/>
        </w:rPr>
        <w:t>,</w:t>
      </w:r>
      <w:r w:rsidR="005D2D9C" w:rsidRPr="00552862">
        <w:rPr>
          <w:rFonts w:ascii="Arial Nova Light" w:hAnsi="Arial Nova Light" w:cs="Times New Roman"/>
        </w:rPr>
        <w:t xml:space="preserve"> </w:t>
      </w:r>
      <w:r w:rsidR="006B155D" w:rsidRPr="006B155D">
        <w:rPr>
          <w:rFonts w:ascii="Arial Nova Light" w:hAnsi="Arial Nova Light" w:cs="Times New Roman"/>
        </w:rPr>
        <w:t>24</w:t>
      </w:r>
      <w:r w:rsidR="005D2D9C" w:rsidRPr="006B155D">
        <w:rPr>
          <w:rFonts w:ascii="Arial Nova Light" w:hAnsi="Arial Nova Light" w:cs="Times New Roman"/>
        </w:rPr>
        <w:t xml:space="preserve"> </w:t>
      </w:r>
      <w:r w:rsidR="00EC4405">
        <w:rPr>
          <w:rFonts w:ascii="Arial Nova Light" w:hAnsi="Arial Nova Light" w:cs="Times New Roman"/>
        </w:rPr>
        <w:t>września</w:t>
      </w:r>
      <w:r w:rsidR="00637152" w:rsidRPr="006B155D">
        <w:rPr>
          <w:rFonts w:ascii="Arial Nova Light" w:hAnsi="Arial Nova Light" w:cs="Times New Roman"/>
        </w:rPr>
        <w:t xml:space="preserve"> 202</w:t>
      </w:r>
      <w:r w:rsidRPr="006B155D">
        <w:rPr>
          <w:rFonts w:ascii="Arial Nova Light" w:hAnsi="Arial Nova Light" w:cs="Times New Roman"/>
        </w:rPr>
        <w:t>6</w:t>
      </w:r>
      <w:r w:rsidR="00D71821" w:rsidRPr="006B155D">
        <w:rPr>
          <w:rFonts w:ascii="Arial Nova Light" w:hAnsi="Arial Nova Light" w:cs="Times New Roman"/>
        </w:rPr>
        <w:t xml:space="preserve"> r</w:t>
      </w:r>
      <w:r w:rsidR="00D71821" w:rsidRPr="00552862">
        <w:rPr>
          <w:rFonts w:ascii="Arial Nova Light" w:hAnsi="Arial Nova Light" w:cs="Times New Roman"/>
        </w:rPr>
        <w:t>.</w:t>
      </w:r>
    </w:p>
    <w:p w14:paraId="6D885659" w14:textId="2E4220F6" w:rsidR="00637152" w:rsidRPr="00552862" w:rsidRDefault="00637152" w:rsidP="00F35AC5">
      <w:pPr>
        <w:jc w:val="center"/>
        <w:rPr>
          <w:rFonts w:ascii="Arial Nova Light" w:hAnsi="Arial Nova Light" w:cs="Times New Roman"/>
          <w:b/>
          <w:bCs/>
        </w:rPr>
      </w:pPr>
      <w:r w:rsidRPr="00552862">
        <w:rPr>
          <w:rFonts w:ascii="Arial Nova Light" w:hAnsi="Arial Nova Light" w:cs="Times New Roman"/>
          <w:b/>
          <w:bCs/>
        </w:rPr>
        <w:t>Sprawozdanie z przebiegu i wyników konsultacji projektu</w:t>
      </w:r>
      <w:r w:rsidR="00EB1FB2" w:rsidRPr="00552862">
        <w:rPr>
          <w:rFonts w:ascii="Arial Nova Light" w:hAnsi="Arial Nova Light" w:cs="Times New Roman"/>
          <w:b/>
          <w:bCs/>
        </w:rPr>
        <w:t xml:space="preserve"> aktualizacji</w:t>
      </w:r>
      <w:r w:rsidRPr="00552862">
        <w:rPr>
          <w:rFonts w:ascii="Arial Nova Light" w:hAnsi="Arial Nova Light" w:cs="Times New Roman"/>
          <w:b/>
          <w:bCs/>
        </w:rPr>
        <w:t xml:space="preserve"> „</w:t>
      </w:r>
      <w:r w:rsidR="00122141" w:rsidRPr="00552862">
        <w:rPr>
          <w:rFonts w:ascii="Arial Nova Light" w:hAnsi="Arial Nova Light" w:cs="Times New Roman"/>
          <w:b/>
          <w:bCs/>
        </w:rPr>
        <w:t xml:space="preserve">Strategii Rozwoju Gminy </w:t>
      </w:r>
      <w:r w:rsidR="00EB1FB2" w:rsidRPr="00552862">
        <w:rPr>
          <w:rFonts w:ascii="Arial Nova Light" w:hAnsi="Arial Nova Light" w:cs="Times New Roman"/>
          <w:b/>
          <w:bCs/>
        </w:rPr>
        <w:t>Pniewy</w:t>
      </w:r>
      <w:r w:rsidR="003029C4" w:rsidRPr="00552862">
        <w:rPr>
          <w:rFonts w:ascii="Arial Nova Light" w:hAnsi="Arial Nova Light" w:cs="Times New Roman"/>
          <w:b/>
          <w:bCs/>
        </w:rPr>
        <w:t xml:space="preserve"> na lata 202</w:t>
      </w:r>
      <w:r w:rsidR="00EB1FB2" w:rsidRPr="00552862">
        <w:rPr>
          <w:rFonts w:ascii="Arial Nova Light" w:hAnsi="Arial Nova Light" w:cs="Times New Roman"/>
          <w:b/>
          <w:bCs/>
        </w:rPr>
        <w:t>4</w:t>
      </w:r>
      <w:r w:rsidR="003029C4" w:rsidRPr="00552862">
        <w:rPr>
          <w:rFonts w:ascii="Arial Nova Light" w:hAnsi="Arial Nova Light" w:cs="Times New Roman"/>
          <w:b/>
          <w:bCs/>
        </w:rPr>
        <w:t>-203</w:t>
      </w:r>
      <w:r w:rsidR="00EB1FB2" w:rsidRPr="00552862">
        <w:rPr>
          <w:rFonts w:ascii="Arial Nova Light" w:hAnsi="Arial Nova Light" w:cs="Times New Roman"/>
          <w:b/>
          <w:bCs/>
        </w:rPr>
        <w:t>3</w:t>
      </w:r>
      <w:r w:rsidRPr="00552862">
        <w:rPr>
          <w:rFonts w:ascii="Arial Nova Light" w:hAnsi="Arial Nova Light" w:cs="Times New Roman"/>
          <w:b/>
          <w:bCs/>
        </w:rPr>
        <w:t>”</w:t>
      </w:r>
    </w:p>
    <w:p w14:paraId="5F2B67F5" w14:textId="522BA758" w:rsidR="003029C4" w:rsidRPr="00552862" w:rsidRDefault="00637152" w:rsidP="003029C4">
      <w:pPr>
        <w:spacing w:before="100" w:beforeAutospacing="1" w:after="100" w:afterAutospacing="1" w:line="240" w:lineRule="auto"/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</w:rPr>
        <w:t>Działając na podstawie</w:t>
      </w:r>
      <w:r w:rsidR="003029C4" w:rsidRPr="00552862">
        <w:rPr>
          <w:rFonts w:ascii="Arial Nova Light" w:hAnsi="Arial Nova Light" w:cs="Times New Roman"/>
        </w:rPr>
        <w:t xml:space="preserve"> art. 6 ust. 3 ustawy z dnia 6 grudnia 2006 r. o zasadach prowadzenia polityki rozwoju (t.j. Dz.U. </w:t>
      </w:r>
      <w:r w:rsidR="00316C0D" w:rsidRPr="00552862">
        <w:rPr>
          <w:rFonts w:ascii="Arial Nova Light" w:hAnsi="Arial Nova Light" w:cs="Times New Roman"/>
        </w:rPr>
        <w:t>z 2025 r. poz. 198 ze zm</w:t>
      </w:r>
      <w:r w:rsidR="003029C4" w:rsidRPr="00552862">
        <w:rPr>
          <w:rFonts w:ascii="Arial Nova Light" w:hAnsi="Arial Nova Light" w:cs="Times New Roman"/>
        </w:rPr>
        <w:t>.), uchwał</w:t>
      </w:r>
      <w:r w:rsidR="006C1442" w:rsidRPr="00552862">
        <w:rPr>
          <w:rFonts w:ascii="Arial Nova Light" w:hAnsi="Arial Nova Light" w:cs="Times New Roman"/>
        </w:rPr>
        <w:t>y</w:t>
      </w:r>
      <w:r w:rsidR="003029C4" w:rsidRPr="00552862">
        <w:rPr>
          <w:rFonts w:ascii="Arial Nova Light" w:hAnsi="Arial Nova Light" w:cs="Times New Roman"/>
        </w:rPr>
        <w:t xml:space="preserve"> </w:t>
      </w:r>
      <w:r w:rsidR="00316C0D" w:rsidRPr="00552862">
        <w:rPr>
          <w:rFonts w:ascii="Arial Nova Light" w:hAnsi="Arial Nova Light" w:cs="Times New Roman"/>
        </w:rPr>
        <w:t xml:space="preserve"> nr XLII/350/06 Rady Miejskiej Pniewy z dnia 9 lutego 2006 r. w sprawie zasad i trybu przeprowadzania konsultacji z mieszkańcami gminy Pniewy</w:t>
      </w:r>
      <w:r w:rsidR="003029C4" w:rsidRPr="00552862">
        <w:rPr>
          <w:rFonts w:ascii="Arial Nova Light" w:hAnsi="Arial Nova Light" w:cs="Times New Roman"/>
        </w:rPr>
        <w:t xml:space="preserve"> oraz uchwał</w:t>
      </w:r>
      <w:r w:rsidR="006C1442" w:rsidRPr="00552862">
        <w:rPr>
          <w:rFonts w:ascii="Arial Nova Light" w:hAnsi="Arial Nova Light" w:cs="Times New Roman"/>
        </w:rPr>
        <w:t>y</w:t>
      </w:r>
      <w:r w:rsidR="003029C4" w:rsidRPr="00552862">
        <w:rPr>
          <w:rFonts w:ascii="Arial Nova Light" w:hAnsi="Arial Nova Light" w:cs="Times New Roman"/>
        </w:rPr>
        <w:t xml:space="preserve"> </w:t>
      </w:r>
      <w:r w:rsidR="00316C0D" w:rsidRPr="00552862">
        <w:rPr>
          <w:rFonts w:ascii="Arial Nova Light" w:hAnsi="Arial Nova Light" w:cs="Times New Roman"/>
        </w:rPr>
        <w:t>nr XXII/175/26 Rady Miejskiej Pniewy z dnia 5 marca 2026 r. w sprawie określenia szczegółowego trybu i harmonogramu opracowania projektu aktualizacji Strategii Rozwoju Gminy Pniewy na lata 2024-2033</w:t>
      </w:r>
      <w:r w:rsidR="003029C4" w:rsidRPr="00552862">
        <w:rPr>
          <w:rFonts w:ascii="Arial Nova Light" w:hAnsi="Arial Nova Light" w:cs="Times New Roman"/>
        </w:rPr>
        <w:t>, w tym trybu konsultacji</w:t>
      </w:r>
    </w:p>
    <w:p w14:paraId="614976BC" w14:textId="317E6FEB" w:rsidR="001E43ED" w:rsidRPr="00552862" w:rsidRDefault="001E43ED" w:rsidP="006B7F5D">
      <w:pPr>
        <w:spacing w:before="100" w:beforeAutospacing="1" w:after="100" w:afterAutospacing="1" w:line="240" w:lineRule="auto"/>
        <w:jc w:val="both"/>
        <w:rPr>
          <w:rFonts w:ascii="Arial Nova Light" w:eastAsia="Times New Roman" w:hAnsi="Arial Nova Light" w:cs="Times New Roman"/>
          <w:lang w:eastAsia="pl-PL"/>
        </w:rPr>
      </w:pPr>
      <w:r w:rsidRPr="00552862">
        <w:rPr>
          <w:rFonts w:ascii="Arial Nova Light" w:eastAsia="Times New Roman" w:hAnsi="Arial Nova Light" w:cs="Times New Roman"/>
          <w:lang w:eastAsia="pl-PL"/>
        </w:rPr>
        <w:t xml:space="preserve">przedstawiam niniejsze sprawozdanie z przebiegu i wyników konsultacji projektu </w:t>
      </w:r>
      <w:r w:rsidR="00316C0D" w:rsidRPr="00552862">
        <w:rPr>
          <w:rFonts w:ascii="Arial Nova Light" w:eastAsia="Times New Roman" w:hAnsi="Arial Nova Light" w:cs="Times New Roman"/>
          <w:lang w:eastAsia="pl-PL"/>
        </w:rPr>
        <w:t>aktualizacji „Strategii Rozwoju Gminy Pniewy na lata 2024-2033”:</w:t>
      </w:r>
    </w:p>
    <w:p w14:paraId="6AA846D5" w14:textId="54DA1007" w:rsidR="0070315A" w:rsidRPr="00552862" w:rsidRDefault="0070315A" w:rsidP="00F35AC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Przedmiot konsultacji:</w:t>
      </w:r>
      <w:r w:rsidR="00316C0D" w:rsidRPr="00552862">
        <w:rPr>
          <w:rFonts w:ascii="Arial Nova Light" w:hAnsi="Arial Nova Light"/>
        </w:rPr>
        <w:t xml:space="preserve"> </w:t>
      </w:r>
      <w:r w:rsidR="00316C0D" w:rsidRPr="00552862">
        <w:rPr>
          <w:rFonts w:ascii="Arial Nova Light" w:hAnsi="Arial Nova Light" w:cs="Times New Roman"/>
        </w:rPr>
        <w:t>aktualizacja „Strategii Rozwoju Gminy Pniewy na lata 2024-2033”</w:t>
      </w:r>
    </w:p>
    <w:p w14:paraId="0D5CC050" w14:textId="6D66406E" w:rsidR="003029C4" w:rsidRPr="00552862" w:rsidRDefault="001A4652" w:rsidP="006F5A4F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Podstawa prawna przeprowadzenia konsultacji:</w:t>
      </w:r>
      <w:r w:rsidRPr="00552862">
        <w:rPr>
          <w:rFonts w:ascii="Arial Nova Light" w:hAnsi="Arial Nova Light" w:cs="Times New Roman"/>
        </w:rPr>
        <w:t xml:space="preserve"> </w:t>
      </w:r>
      <w:r w:rsidR="003029C4" w:rsidRPr="00552862">
        <w:rPr>
          <w:rFonts w:ascii="Arial Nova Light" w:hAnsi="Arial Nova Light" w:cs="Times New Roman"/>
        </w:rPr>
        <w:t xml:space="preserve">uchwała Nr </w:t>
      </w:r>
      <w:r w:rsidR="00316C0D" w:rsidRPr="00552862">
        <w:rPr>
          <w:rFonts w:ascii="Arial Nova Light" w:hAnsi="Arial Nova Light" w:cs="Times New Roman"/>
        </w:rPr>
        <w:t xml:space="preserve">XLII/350/06 Rady Miejskiej Pniewy z dnia 9 lutego 2006 r. w sprawie zasad i trybu przeprowadzania konsultacji z mieszkańcami gminy Pniewy </w:t>
      </w:r>
      <w:r w:rsidR="003029C4" w:rsidRPr="00552862">
        <w:rPr>
          <w:rFonts w:ascii="Arial Nova Light" w:hAnsi="Arial Nova Light" w:cs="Times New Roman"/>
        </w:rPr>
        <w:t xml:space="preserve">oraz uchwała Nr </w:t>
      </w:r>
      <w:r w:rsidR="00316C0D" w:rsidRPr="00552862">
        <w:rPr>
          <w:rFonts w:ascii="Arial Nova Light" w:hAnsi="Arial Nova Light" w:cs="Times New Roman"/>
        </w:rPr>
        <w:t>XXII/175/26 Rady Miejskiej Pniewy z dnia 5 marca 2026 r. w sprawie określenia szczegółowego trybu i harmonogramu opracowania projektu aktualizacji Strategii Rozwoju Gminy Pniewy na lata 2024-2033</w:t>
      </w:r>
      <w:r w:rsidR="003029C4" w:rsidRPr="00552862">
        <w:rPr>
          <w:rFonts w:ascii="Arial Nova Light" w:hAnsi="Arial Nova Light" w:cs="Times New Roman"/>
        </w:rPr>
        <w:t>, w tym trybu konsultacji</w:t>
      </w:r>
      <w:r w:rsidR="006C1442" w:rsidRPr="00552862">
        <w:rPr>
          <w:rFonts w:ascii="Arial Nova Light" w:hAnsi="Arial Nova Light" w:cs="Times New Roman"/>
        </w:rPr>
        <w:t>.</w:t>
      </w:r>
    </w:p>
    <w:p w14:paraId="647107A7" w14:textId="26B18471" w:rsidR="001A4652" w:rsidRPr="00552862" w:rsidRDefault="001A4652" w:rsidP="006F5A4F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 xml:space="preserve">Cel konsultacji: </w:t>
      </w:r>
      <w:r w:rsidRPr="00552862">
        <w:rPr>
          <w:rFonts w:ascii="Arial Nova Light" w:hAnsi="Arial Nova Light" w:cs="Times New Roman"/>
        </w:rPr>
        <w:t>poznanie opinii</w:t>
      </w:r>
      <w:r w:rsidR="00D71821" w:rsidRPr="00552862">
        <w:rPr>
          <w:rFonts w:ascii="Arial Nova Light" w:hAnsi="Arial Nova Light" w:cs="Times New Roman"/>
        </w:rPr>
        <w:t xml:space="preserve"> i</w:t>
      </w:r>
      <w:r w:rsidRPr="00552862">
        <w:rPr>
          <w:rFonts w:ascii="Arial Nova Light" w:hAnsi="Arial Nova Light" w:cs="Times New Roman"/>
        </w:rPr>
        <w:t xml:space="preserve"> uwag mieszkańców</w:t>
      </w:r>
      <w:r w:rsidR="004D6B7C" w:rsidRPr="00552862">
        <w:rPr>
          <w:rFonts w:ascii="Arial Nova Light" w:hAnsi="Arial Nova Light" w:cs="Times New Roman"/>
        </w:rPr>
        <w:t xml:space="preserve"> Gminy </w:t>
      </w:r>
      <w:r w:rsidR="00316C0D" w:rsidRPr="00552862">
        <w:rPr>
          <w:rFonts w:ascii="Arial Nova Light" w:hAnsi="Arial Nova Light" w:cs="Times New Roman"/>
        </w:rPr>
        <w:t>Pniewy</w:t>
      </w:r>
      <w:r w:rsidRPr="00552862">
        <w:rPr>
          <w:rFonts w:ascii="Arial Nova Light" w:hAnsi="Arial Nova Light" w:cs="Times New Roman"/>
        </w:rPr>
        <w:t xml:space="preserve">, sąsiednich gmin i ich związków, partnerów społecznych i gospodarczych oraz dyrektora Regionalnego Zarządu Gospodarki </w:t>
      </w:r>
      <w:r w:rsidR="004D6B7C" w:rsidRPr="00552862">
        <w:rPr>
          <w:rFonts w:ascii="Arial Nova Light" w:hAnsi="Arial Nova Light" w:cs="Times New Roman"/>
        </w:rPr>
        <w:t>W</w:t>
      </w:r>
      <w:r w:rsidRPr="00552862">
        <w:rPr>
          <w:rFonts w:ascii="Arial Nova Light" w:hAnsi="Arial Nova Light" w:cs="Times New Roman"/>
        </w:rPr>
        <w:t xml:space="preserve">odnej </w:t>
      </w:r>
      <w:r w:rsidR="003029C4" w:rsidRPr="00552862">
        <w:rPr>
          <w:rFonts w:ascii="Arial Nova Light" w:hAnsi="Arial Nova Light" w:cs="Times New Roman"/>
        </w:rPr>
        <w:t xml:space="preserve">w </w:t>
      </w:r>
      <w:r w:rsidR="00FB702B" w:rsidRPr="00552862">
        <w:rPr>
          <w:rFonts w:ascii="Arial Nova Light" w:hAnsi="Arial Nova Light" w:cs="Times New Roman"/>
        </w:rPr>
        <w:t>Poznaniu</w:t>
      </w:r>
      <w:r w:rsidR="003029C4" w:rsidRPr="00552862">
        <w:rPr>
          <w:rFonts w:ascii="Arial Nova Light" w:hAnsi="Arial Nova Light" w:cs="Times New Roman"/>
        </w:rPr>
        <w:t xml:space="preserve"> </w:t>
      </w:r>
      <w:r w:rsidRPr="00552862">
        <w:rPr>
          <w:rFonts w:ascii="Arial Nova Light" w:hAnsi="Arial Nova Light" w:cs="Times New Roman"/>
        </w:rPr>
        <w:t>oraz uzyskanie informacji zwrotnej dotyczącej poszczególnych zapisów dokumentu, w tym uwzględnienie w nim potrzeb i</w:t>
      </w:r>
      <w:r w:rsidR="00C769F0" w:rsidRPr="00552862">
        <w:rPr>
          <w:rFonts w:ascii="Arial Nova Light" w:hAnsi="Arial Nova Light" w:cs="Times New Roman"/>
        </w:rPr>
        <w:t> </w:t>
      </w:r>
      <w:r w:rsidRPr="00552862">
        <w:rPr>
          <w:rFonts w:ascii="Arial Nova Light" w:hAnsi="Arial Nova Light" w:cs="Times New Roman"/>
        </w:rPr>
        <w:t>oczekiwań grupy adresatów.</w:t>
      </w:r>
      <w:r w:rsidR="001C4012" w:rsidRPr="00552862">
        <w:rPr>
          <w:rFonts w:ascii="Arial Nova Light" w:hAnsi="Arial Nova Light" w:cs="Times New Roman"/>
        </w:rPr>
        <w:t xml:space="preserve"> </w:t>
      </w:r>
    </w:p>
    <w:p w14:paraId="6231E1F7" w14:textId="75665790" w:rsidR="0070315A" w:rsidRPr="00552862" w:rsidRDefault="0070315A" w:rsidP="00A63399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Termin konsultacji:</w:t>
      </w:r>
      <w:r w:rsidR="00BA73A7" w:rsidRPr="00552862">
        <w:rPr>
          <w:rFonts w:ascii="Arial Nova Light" w:hAnsi="Arial Nova Light" w:cs="Times New Roman"/>
          <w:b/>
          <w:bCs/>
        </w:rPr>
        <w:t xml:space="preserve"> </w:t>
      </w:r>
      <w:r w:rsidR="00680403" w:rsidRPr="00552862">
        <w:rPr>
          <w:rFonts w:ascii="Arial Nova Light" w:hAnsi="Arial Nova Light" w:cs="Times New Roman"/>
        </w:rPr>
        <w:t xml:space="preserve">od </w:t>
      </w:r>
      <w:r w:rsidR="00FB702B" w:rsidRPr="00552862">
        <w:rPr>
          <w:rFonts w:ascii="Arial Nova Light" w:hAnsi="Arial Nova Light" w:cs="Times New Roman"/>
        </w:rPr>
        <w:t>22 lipca 2026 r. do dnia 25 sierpnia 2026 r.</w:t>
      </w:r>
    </w:p>
    <w:p w14:paraId="7F249EB1" w14:textId="1ED74468" w:rsidR="0070315A" w:rsidRPr="00552862" w:rsidRDefault="0070315A" w:rsidP="00A63399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Podmiot przeprowadzający konsultacje:</w:t>
      </w:r>
      <w:r w:rsidRPr="00552862">
        <w:rPr>
          <w:rFonts w:ascii="Arial Nova Light" w:hAnsi="Arial Nova Light" w:cs="Times New Roman"/>
        </w:rPr>
        <w:t xml:space="preserve"> </w:t>
      </w:r>
      <w:r w:rsidR="00157898" w:rsidRPr="00552862">
        <w:rPr>
          <w:rFonts w:ascii="Arial Nova Light" w:hAnsi="Arial Nova Light" w:cs="Times New Roman"/>
        </w:rPr>
        <w:t>Zastępca Burmistrza Gminy Pniewy</w:t>
      </w:r>
      <w:r w:rsidR="0062465C" w:rsidRPr="00552862">
        <w:rPr>
          <w:rFonts w:ascii="Arial Nova Light" w:hAnsi="Arial Nova Light" w:cs="Times New Roman"/>
        </w:rPr>
        <w:t xml:space="preserve">. </w:t>
      </w:r>
    </w:p>
    <w:p w14:paraId="1FE1B79C" w14:textId="08E10B31" w:rsidR="0070315A" w:rsidRPr="00552862" w:rsidRDefault="0070315A" w:rsidP="00A63399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Formy przeprowadzenia konsultacji:</w:t>
      </w:r>
      <w:r w:rsidRPr="00552862">
        <w:rPr>
          <w:rFonts w:ascii="Arial Nova Light" w:hAnsi="Arial Nova Light" w:cs="Times New Roman"/>
        </w:rPr>
        <w:t xml:space="preserve"> zbieranie uwag w formie elektronicznej</w:t>
      </w:r>
      <w:r w:rsidR="001A4652" w:rsidRPr="00552862">
        <w:rPr>
          <w:rFonts w:ascii="Arial Nova Light" w:hAnsi="Arial Nova Light" w:cs="Times New Roman"/>
        </w:rPr>
        <w:t xml:space="preserve"> </w:t>
      </w:r>
      <w:r w:rsidR="00D2159D" w:rsidRPr="00552862">
        <w:rPr>
          <w:rFonts w:ascii="Arial Nova Light" w:hAnsi="Arial Nova Light" w:cs="Times New Roman"/>
        </w:rPr>
        <w:t xml:space="preserve">lub papierowej </w:t>
      </w:r>
      <w:r w:rsidR="001A4652" w:rsidRPr="00552862">
        <w:rPr>
          <w:rFonts w:ascii="Arial Nova Light" w:hAnsi="Arial Nova Light" w:cs="Times New Roman"/>
        </w:rPr>
        <w:t xml:space="preserve">za pomocą udostępnionego formularza </w:t>
      </w:r>
      <w:r w:rsidR="00D71821" w:rsidRPr="00552862">
        <w:rPr>
          <w:rFonts w:ascii="Arial Nova Light" w:hAnsi="Arial Nova Light" w:cs="Times New Roman"/>
        </w:rPr>
        <w:t>oraz przesyłania na adres mailowy wskazany w ogłoszeniu o konsultacjach</w:t>
      </w:r>
      <w:r w:rsidR="009B0BF2" w:rsidRPr="00552862">
        <w:rPr>
          <w:rFonts w:ascii="Arial Nova Light" w:hAnsi="Arial Nova Light" w:cs="Times New Roman"/>
        </w:rPr>
        <w:t xml:space="preserve">, </w:t>
      </w:r>
      <w:r w:rsidR="009B0BF2" w:rsidRPr="00552862">
        <w:rPr>
          <w:rFonts w:ascii="Arial Nova Light" w:eastAsia="Calibri" w:hAnsi="Arial Nova Light" w:cs="Times New Roman"/>
        </w:rPr>
        <w:t xml:space="preserve">a także wyrażenie opinii, uwag i propozycji podczas spotkania konsultacyjnego, które odbyło się w formule spotkania online w dniu </w:t>
      </w:r>
      <w:r w:rsidR="00680403" w:rsidRPr="00552862">
        <w:rPr>
          <w:rFonts w:ascii="Arial Nova Light" w:hAnsi="Arial Nova Light" w:cs="Times New Roman"/>
        </w:rPr>
        <w:t>2</w:t>
      </w:r>
      <w:r w:rsidR="00157898" w:rsidRPr="00552862">
        <w:rPr>
          <w:rFonts w:ascii="Arial Nova Light" w:hAnsi="Arial Nova Light" w:cs="Times New Roman"/>
        </w:rPr>
        <w:t>1</w:t>
      </w:r>
      <w:r w:rsidR="009B0BF2" w:rsidRPr="00552862">
        <w:rPr>
          <w:rFonts w:ascii="Arial Nova Light" w:hAnsi="Arial Nova Light" w:cs="Times New Roman"/>
        </w:rPr>
        <w:t xml:space="preserve"> sierpnia 202</w:t>
      </w:r>
      <w:r w:rsidR="00157898" w:rsidRPr="00552862">
        <w:rPr>
          <w:rFonts w:ascii="Arial Nova Light" w:hAnsi="Arial Nova Light" w:cs="Times New Roman"/>
        </w:rPr>
        <w:t>6</w:t>
      </w:r>
      <w:r w:rsidR="009B0BF2" w:rsidRPr="00552862">
        <w:rPr>
          <w:rFonts w:ascii="Arial Nova Light" w:hAnsi="Arial Nova Light" w:cs="Times New Roman"/>
        </w:rPr>
        <w:t xml:space="preserve"> roku o godzinie 1</w:t>
      </w:r>
      <w:r w:rsidR="00157898" w:rsidRPr="00552862">
        <w:rPr>
          <w:rFonts w:ascii="Arial Nova Light" w:hAnsi="Arial Nova Light" w:cs="Times New Roman"/>
        </w:rPr>
        <w:t>0</w:t>
      </w:r>
      <w:r w:rsidR="009B0BF2" w:rsidRPr="00552862">
        <w:rPr>
          <w:rFonts w:ascii="Arial Nova Light" w:hAnsi="Arial Nova Light" w:cs="Times New Roman"/>
        </w:rPr>
        <w:t>:00</w:t>
      </w:r>
    </w:p>
    <w:p w14:paraId="643269D4" w14:textId="77D698E5" w:rsidR="001A4652" w:rsidRPr="00552862" w:rsidRDefault="001A4652" w:rsidP="00157898">
      <w:pPr>
        <w:pStyle w:val="Akapitzlist"/>
        <w:numPr>
          <w:ilvl w:val="0"/>
          <w:numId w:val="1"/>
        </w:numPr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Informacja o sposobie promowania konsultacji:</w:t>
      </w:r>
      <w:r w:rsidRPr="00552862">
        <w:rPr>
          <w:rFonts w:ascii="Arial Nova Light" w:hAnsi="Arial Nova Light" w:cs="Times New Roman"/>
        </w:rPr>
        <w:t xml:space="preserve"> ogłoszenie o konsultacjach społecznych</w:t>
      </w:r>
      <w:r w:rsidR="00157898" w:rsidRPr="00552862">
        <w:rPr>
          <w:rFonts w:ascii="Arial Nova Light" w:hAnsi="Arial Nova Light" w:cs="Times New Roman"/>
        </w:rPr>
        <w:t xml:space="preserve"> </w:t>
      </w:r>
      <w:r w:rsidR="001217AA" w:rsidRPr="00552862">
        <w:rPr>
          <w:rFonts w:ascii="Arial Nova Light" w:hAnsi="Arial Nova Light" w:cs="Times New Roman"/>
        </w:rPr>
        <w:t>wywieszono</w:t>
      </w:r>
      <w:r w:rsidR="00157898" w:rsidRPr="00552862">
        <w:rPr>
          <w:rFonts w:ascii="Arial Nova Light" w:hAnsi="Arial Nova Light" w:cs="Times New Roman"/>
        </w:rPr>
        <w:t xml:space="preserve"> na tablicy ogłoszeń w budynku Urzędu Miejskiego Pniewy, opublikowano na stronie internetowej Urzędu Miejskiego Pniewy, w Biuletynie Informacji Publicznej Gminy Pniewy. </w:t>
      </w:r>
      <w:r w:rsidR="00441D2B" w:rsidRPr="00552862">
        <w:rPr>
          <w:rFonts w:ascii="Arial Nova Light" w:hAnsi="Arial Nova Light" w:cs="Times New Roman"/>
        </w:rPr>
        <w:t xml:space="preserve">z </w:t>
      </w:r>
      <w:r w:rsidR="00D71821" w:rsidRPr="00552862">
        <w:rPr>
          <w:rFonts w:ascii="Arial Nova Light" w:hAnsi="Arial Nova Light" w:cs="Times New Roman"/>
        </w:rPr>
        <w:t>załączeniem pliku z</w:t>
      </w:r>
      <w:r w:rsidR="00C769F0" w:rsidRPr="00552862">
        <w:rPr>
          <w:rFonts w:ascii="Arial Nova Light" w:hAnsi="Arial Nova Light" w:cs="Times New Roman"/>
        </w:rPr>
        <w:t> </w:t>
      </w:r>
      <w:r w:rsidR="00D71821" w:rsidRPr="00552862">
        <w:rPr>
          <w:rFonts w:ascii="Arial Nova Light" w:hAnsi="Arial Nova Light" w:cs="Times New Roman"/>
        </w:rPr>
        <w:t xml:space="preserve">projektem </w:t>
      </w:r>
      <w:r w:rsidR="001217AA" w:rsidRPr="00552862">
        <w:rPr>
          <w:rFonts w:ascii="Arial Nova Light" w:hAnsi="Arial Nova Light" w:cs="Times New Roman"/>
        </w:rPr>
        <w:t xml:space="preserve">aktualizacji Strategii Rozwoju Gminy Pniewy na lata 2024–2033 </w:t>
      </w:r>
      <w:r w:rsidR="00441D2B" w:rsidRPr="00552862">
        <w:rPr>
          <w:rFonts w:ascii="Arial Nova Light" w:hAnsi="Arial Nova Light" w:cs="Times New Roman"/>
        </w:rPr>
        <w:t>i formularzem</w:t>
      </w:r>
      <w:r w:rsidR="00D71821" w:rsidRPr="00552862">
        <w:rPr>
          <w:rFonts w:ascii="Arial Nova Light" w:hAnsi="Arial Nova Light" w:cs="Times New Roman"/>
        </w:rPr>
        <w:t xml:space="preserve"> zgłaszania</w:t>
      </w:r>
      <w:r w:rsidR="00441D2B" w:rsidRPr="00552862">
        <w:rPr>
          <w:rFonts w:ascii="Arial Nova Light" w:hAnsi="Arial Nova Light" w:cs="Times New Roman"/>
        </w:rPr>
        <w:t xml:space="preserve"> uwag, opinii, propozycji zmian</w:t>
      </w:r>
      <w:r w:rsidR="006F7A8F" w:rsidRPr="00552862">
        <w:rPr>
          <w:rFonts w:ascii="Arial Nova Light" w:hAnsi="Arial Nova Light" w:cs="Times New Roman"/>
        </w:rPr>
        <w:t>.</w:t>
      </w:r>
    </w:p>
    <w:p w14:paraId="31F8CCB4" w14:textId="41CC35AE" w:rsidR="005511DC" w:rsidRPr="00552862" w:rsidRDefault="006F7A8F" w:rsidP="000A1142">
      <w:pPr>
        <w:pStyle w:val="Akapitzlist"/>
        <w:numPr>
          <w:ilvl w:val="0"/>
          <w:numId w:val="1"/>
        </w:numPr>
        <w:spacing w:after="0" w:line="254" w:lineRule="auto"/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Informacja o uczestnikach konsultacji:</w:t>
      </w:r>
      <w:r w:rsidRPr="00552862">
        <w:rPr>
          <w:rFonts w:ascii="Arial Nova Light" w:hAnsi="Arial Nova Light" w:cs="Times New Roman"/>
        </w:rPr>
        <w:t xml:space="preserve"> </w:t>
      </w:r>
      <w:r w:rsidR="005511DC" w:rsidRPr="00552862">
        <w:rPr>
          <w:rFonts w:ascii="Arial Nova Light" w:hAnsi="Arial Nova Light" w:cs="Times New Roman"/>
        </w:rPr>
        <w:t xml:space="preserve">w toku konsultacji społecznych w wyznaczonym terminie </w:t>
      </w:r>
      <w:r w:rsidR="001217AA" w:rsidRPr="00552862">
        <w:rPr>
          <w:rFonts w:ascii="Arial Nova Light" w:hAnsi="Arial Nova Light" w:cs="Times New Roman"/>
        </w:rPr>
        <w:t>wpłynęło 6 formularzy</w:t>
      </w:r>
      <w:r w:rsidR="005511DC" w:rsidRPr="00552862">
        <w:rPr>
          <w:rFonts w:ascii="Arial Nova Light" w:hAnsi="Arial Nova Light" w:cs="Times New Roman"/>
        </w:rPr>
        <w:t xml:space="preserve"> uwag dotycząc</w:t>
      </w:r>
      <w:r w:rsidR="00DC6874">
        <w:rPr>
          <w:rFonts w:ascii="Arial Nova Light" w:hAnsi="Arial Nova Light" w:cs="Times New Roman"/>
        </w:rPr>
        <w:t>ych</w:t>
      </w:r>
      <w:r w:rsidR="005511DC" w:rsidRPr="00552862">
        <w:rPr>
          <w:rFonts w:ascii="Arial Nova Light" w:hAnsi="Arial Nova Light" w:cs="Times New Roman"/>
        </w:rPr>
        <w:t xml:space="preserve"> treści</w:t>
      </w:r>
      <w:r w:rsidR="001217AA" w:rsidRPr="00552862">
        <w:rPr>
          <w:rFonts w:ascii="Arial Nova Light" w:hAnsi="Arial Nova Light" w:cs="Times New Roman"/>
        </w:rPr>
        <w:t xml:space="preserve"> </w:t>
      </w:r>
      <w:r w:rsidR="005511DC" w:rsidRPr="00552862">
        <w:rPr>
          <w:rFonts w:ascii="Arial Nova Light" w:hAnsi="Arial Nova Light" w:cs="Times New Roman"/>
        </w:rPr>
        <w:t xml:space="preserve">projektu </w:t>
      </w:r>
      <w:r w:rsidR="001217AA" w:rsidRPr="00552862">
        <w:rPr>
          <w:rFonts w:ascii="Arial Nova Light" w:hAnsi="Arial Nova Light" w:cs="Times New Roman"/>
        </w:rPr>
        <w:t xml:space="preserve">aktualizacji </w:t>
      </w:r>
      <w:r w:rsidR="005511DC" w:rsidRPr="00552862">
        <w:rPr>
          <w:rFonts w:ascii="Arial Nova Light" w:hAnsi="Arial Nova Light" w:cs="Times New Roman"/>
        </w:rPr>
        <w:t xml:space="preserve">„Strategii Rozwoju Gminy </w:t>
      </w:r>
      <w:r w:rsidR="001217AA" w:rsidRPr="00552862">
        <w:rPr>
          <w:rFonts w:ascii="Arial Nova Light" w:hAnsi="Arial Nova Light" w:cs="Times New Roman"/>
        </w:rPr>
        <w:t>Pniewy na lata 2024–2033</w:t>
      </w:r>
      <w:r w:rsidR="005511DC" w:rsidRPr="00552862">
        <w:rPr>
          <w:rFonts w:ascii="Arial Nova Light" w:hAnsi="Arial Nova Light" w:cs="Times New Roman"/>
        </w:rPr>
        <w:t xml:space="preserve">”.  </w:t>
      </w:r>
    </w:p>
    <w:p w14:paraId="7421CF3C" w14:textId="4DB181E6" w:rsidR="00502B10" w:rsidRPr="00552862" w:rsidRDefault="00502B10" w:rsidP="000A1142">
      <w:pPr>
        <w:pStyle w:val="Akapitzlist"/>
        <w:numPr>
          <w:ilvl w:val="0"/>
          <w:numId w:val="1"/>
        </w:numPr>
        <w:spacing w:after="0" w:line="254" w:lineRule="auto"/>
        <w:jc w:val="both"/>
        <w:rPr>
          <w:rFonts w:ascii="Arial Nova Light" w:hAnsi="Arial Nova Light" w:cs="Times New Roman"/>
        </w:rPr>
      </w:pPr>
      <w:r w:rsidRPr="00552862">
        <w:rPr>
          <w:rFonts w:ascii="Arial Nova Light" w:hAnsi="Arial Nova Light" w:cs="Times New Roman"/>
          <w:b/>
          <w:bCs/>
        </w:rPr>
        <w:t>Ustosunkowanie się do zgłoszonych uwag wraz z uzasadnieniem</w:t>
      </w:r>
    </w:p>
    <w:p w14:paraId="3AF23A5A" w14:textId="77777777" w:rsidR="00502B10" w:rsidRDefault="00502B10" w:rsidP="00502B10">
      <w:pPr>
        <w:spacing w:after="0" w:line="254" w:lineRule="auto"/>
        <w:rPr>
          <w:rFonts w:ascii="Times New Roman" w:hAnsi="Times New Roman" w:cs="Times New Roman"/>
          <w:sz w:val="24"/>
          <w:szCs w:val="24"/>
        </w:rPr>
        <w:sectPr w:rsidR="00502B10">
          <w:pgSz w:w="11906" w:h="16838"/>
          <w:pgMar w:top="1417" w:right="1417" w:bottom="1417" w:left="1417" w:header="708" w:footer="708" w:gutter="0"/>
          <w:cols w:space="708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7"/>
        <w:gridCol w:w="2061"/>
        <w:gridCol w:w="3757"/>
        <w:gridCol w:w="3088"/>
        <w:gridCol w:w="1424"/>
        <w:gridCol w:w="3195"/>
      </w:tblGrid>
      <w:tr w:rsidR="00502B10" w:rsidRPr="0050118C" w14:paraId="078A7C3B" w14:textId="77777777" w:rsidTr="00F7090B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3B98A6" w14:textId="3FF20CDF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lastRenderedPageBreak/>
              <w:t>Lp.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5BE628" w14:textId="667BFF58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t xml:space="preserve">Część dokumentu, do którego odnosi się uwaga </w:t>
            </w: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br/>
              <w:t>(rozdział/strona/punkt)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995BCE" w14:textId="77777777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t>Treść uwagi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63CE6B" w14:textId="77777777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t>Propozycja zmiany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F2BDE1" w14:textId="77777777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t>Rozstrzygnięcie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6B46DE" w14:textId="43E4ADAA" w:rsidR="00502B10" w:rsidRPr="0050118C" w:rsidRDefault="00502B10" w:rsidP="0050118C">
            <w:pPr>
              <w:pStyle w:val="Akapitzlist"/>
              <w:ind w:left="0"/>
              <w:jc w:val="center"/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b/>
                <w:bCs/>
                <w:sz w:val="18"/>
                <w:szCs w:val="18"/>
              </w:rPr>
              <w:t>Uzasadnienie</w:t>
            </w:r>
          </w:p>
        </w:tc>
      </w:tr>
      <w:tr w:rsidR="004B67E6" w:rsidRPr="0050118C" w14:paraId="6B7B6ACE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A525" w14:textId="77777777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A60B" w14:textId="774E6E76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14-15 -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C9E6" w14:textId="1E687773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Diagnoza określa politykę przestrzenną jako „uregulowaną” i wiąże to m.in. z małą liczbą decyzji WZ, lecz nie uwzględnia aktualnych sporów, zawieszonych postępowań ani silnego ruchu inwestycyjnego w Pod</w:t>
            </w:r>
            <w:r w:rsidR="00236EB7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Karminie. Historyczna analiza gminna wykazała te miejscowości jako satelitarne o dużym zainteresowaniu zabudową.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8656" w14:textId="1FDAE42A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diagnozę o aktualny stan procedur planistycznych i inwestycyjnych po 2022 r. oraz zastąpić ocenę uregulowania polityki przestrzennej wnioskami wskazującymi potrzebę przewidywalności, spójności i terminowości procedur. Wprost wskazać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pniewki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i Karmin jako obszary trwałej presji mieszkaniowej i rozwojowej.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6B02" w14:textId="0AB7F2FE" w:rsidR="004B67E6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B778" w14:textId="43F66B48" w:rsidR="004B67E6" w:rsidRPr="0050118C" w:rsidRDefault="00B477AF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Uwagę uwzględniono w zakresie rezygnacji z oceny polityki przestrzennej jako uregulowanej oraz podkreślenia potrzeby spójnego, przewidywalnego i sprawnego prowadzenia polityki przestrzennej. W projekcie wskazano miejscowości predysponowane do rozwoju zabudowy jednorodzinnej. </w:t>
            </w:r>
          </w:p>
        </w:tc>
      </w:tr>
      <w:tr w:rsidR="004B67E6" w:rsidRPr="0050118C" w14:paraId="09796719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B4BF" w14:textId="4C1E78A2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E41F" w14:textId="16F08A53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operacyjny 1.2 „Uregulowana polityka przestrzenna”, s. 49-52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3FD9" w14:textId="672A3F00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Cel 1.2 jest zbyt ogólny i nie zabezpiecza interesów ani właścicieli przed niespójnością kolejnych dokumentów i postępowań. Brakuje zasad ochrony zaufania, ciągłości inwestycyjnej oraz obowiązku uwzględniania zaawansowanych zamierzeń.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1F5C" w14:textId="28EC7D9D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kierunek działania: „prowadzenie przejrzystej, przewidywalnej i spójnej polityki przestrzennej, z poszanowaniem praw nabytych, uzasadnionych oczekiwań i zaawansowanych procesów inwestycyjnych, potwierdzonych decyzjami administracyjnymi, pozwoleniami, warunkami zabudowy, pozwoleniami i poniesionymi nakładami”.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B064" w14:textId="1734D31D" w:rsidR="004B67E6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A6FF" w14:textId="32F328DF" w:rsidR="004B67E6" w:rsidRPr="0050118C" w:rsidRDefault="00F7090B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Aktualizacja Strategii na lata 2024–2033 nie zakłada zmiany celów strategicznych, celów operacyjnych ani kierunków działań. Ich zachowanie służy zapewnieniu ciągłości realizacji dokumentu oraz umożliwia ocenę postępów w całym okresie jej obowiązywania. Strategia jest dokumentem o charakterze ogólnym i kierunkowym, natomiast szczegółowe ustalenia dotyczące sposobu zagospodarowania poszczególnych obszarów określają akty planowania przestrzennego, w tym plan ogólny gminy oraz miejscowe plany zagospodarowania przestrzennego. </w:t>
            </w:r>
          </w:p>
        </w:tc>
      </w:tr>
      <w:tr w:rsidR="004B67E6" w:rsidRPr="0050118C" w14:paraId="2C158928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0142" w14:textId="5D5D5BDE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3D95" w14:textId="24F74388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funkcjonalno-przestrzennej, s. 64-73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5998" w14:textId="2B6FEC36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prawidłowo wskazuje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niewek i Karmin jako miejscowości predysponowane do rozwoju zabudowy jednorodzinnej ze względu na infrastrukturę techniczną i społeczną. Ustalenie to powinno zostać wzmocnione, aby nie pozostało wyłącznie deklaracją tekstową.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CD53E" w14:textId="7FC59BFF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Dopisać, że rozwój mieszkaniowy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 obejmuje kontynuację istniejących i rozpoczętych zespołów zabudowy, tereny objęte wcześniejszymi procedurami inwestycyjnymi oraz obszary, dla których istnieje lub jest realizowana infrastruktura drogowa, wodociągowa, kanalizacyjna, energetyczna i gazowa.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67C3" w14:textId="449E5DC8" w:rsidR="004B67E6" w:rsidRPr="0050118C" w:rsidRDefault="00F7090B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A58B" w14:textId="3EA5D8BC" w:rsidR="004B67E6" w:rsidRPr="0050118C" w:rsidRDefault="00F7090B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Uwagę uwzględniono częściowo poprzez doprecyzowanie ogólnych predyspozycji miejscowości do rozwoju funkcji mieszkaniowej. Ze względu na strategiczny i kierunkowy charakter dokumentu nie wskazano szczegółowych zasad rozwoju zabudowy ani konkretnych terenów inwestycyjnych. Kwestie te będą rozstrzygane w aktach planowania </w:t>
            </w: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przestrzennego, w szczególności w planie ogólnym gminy oraz miejscowych planach zagospodarowania przestrzennego, z uwzględnieniem aktualnych uwarunkowań i obowiązujących przepisów.</w:t>
            </w:r>
          </w:p>
        </w:tc>
      </w:tr>
      <w:tr w:rsidR="004B67E6" w:rsidRPr="0050118C" w14:paraId="65C5140C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D84C" w14:textId="74CCAF30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B53A" w14:textId="3CE686C8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 – część graficzna, s. 65-71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2ED7" w14:textId="5AFE714F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Kierunek rozwoju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niewek i Kamina powinien być widoczny także w modelu graficznym. Niespójność mapy z tekstem może w przyszłości służyć do zawężającej interpretacji planu ogólnego lub MPZP.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AD7F" w14:textId="6E4DBE49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model graficzny o czytelne oznaczenie obszarów rozwoju zabudowy mieszkaniowej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Karminie, w zgodzie z kierunkiem opisanym na s. 72, obejmujące przede wszystkim obszary uzbrojone, przygotowywane inwestycyjnie i funkcjonalnie powiązane z istniejącą zabudową.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AE3D" w14:textId="6491E438" w:rsidR="004B67E6" w:rsidRPr="0050118C" w:rsidRDefault="00F7090B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477A" w14:textId="26D0EF5F" w:rsidR="004B67E6" w:rsidRPr="0050118C" w:rsidRDefault="00CD0DB4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graficzny ma charakter kierunkowy i wskazuje miejscowości predysponowane do rozwoju, a nie konkretne tereny inwestycyjne. Przedstawiona sieć osadnicza wynika z istniejących dokumentów, lecz nie przesądza, że rozwój może następować wyłącznie w jej granicach. Szczegółowe ustalenia określą plan ogólny i miejscowe plany zagospodarowania przestrzennego.</w:t>
            </w:r>
          </w:p>
        </w:tc>
      </w:tr>
      <w:tr w:rsidR="004B67E6" w:rsidRPr="0050118C" w14:paraId="507280D4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AC5F" w14:textId="53843B15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5.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59580" w14:textId="72CD8058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przestrzennej, s. 73-85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12F0" w14:textId="7EEEC5AB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Brakuje zasady ciągłości infrastrukturalnej i etapowania rozwoju. Całkowite wyłączenie dużych nieruchomości z rozwoju, mimo dostępu do dróg i sieci, może być nieproporcjonalne, gdy możliwe jest rozwiązanie częściowe lub etapowe.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46F2" w14:textId="790BA803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rekomendację: „ciągłość infrastrukturalna stanowi szkielet rozwoju urbanistycznego; nowe tereny zabudowy wyznacza się etapowo, w pierwszej kolejności przy istniejących lub realizowanych sieciach i drogach, dopuszczając częściowe objęcie nieruchomości funkcją rozwojową zamiast całkowitego wykluczenia”.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A6E1" w14:textId="404CF3AE" w:rsidR="004B67E6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CDF7" w14:textId="718C76A7" w:rsidR="004B67E6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W opisie modelu oraz ustaleniach i rekomendacjach dodano zapisy mówiące o koncentracji nowej zabudowy w pierwszej kolejności w granicach istniejących struktur osadniczych oraz na terenach wyposażonych w infrastrukturę. </w:t>
            </w:r>
          </w:p>
        </w:tc>
      </w:tr>
      <w:tr w:rsidR="004B67E6" w:rsidRPr="0050118C" w14:paraId="668C9AC7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4193" w14:textId="05B9D3D3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6.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59E6" w14:textId="50C19A11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 - Karmin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C0EC" w14:textId="29222BEE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Karmin ma zarówno wyraźny potencjał mieszkaniowy, jak i rolniczy. Strategia nie powinna tworzyć fałszywej alternatywy: wyłącznie zabudowa jednorodzinna albo wyłącznie teren otwarty.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9D495" w14:textId="4F398602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Dodać dla </w:t>
            </w:r>
            <w:proofErr w:type="spellStart"/>
            <w:r w:rsidRPr="0050118C">
              <w:rPr>
                <w:rFonts w:ascii="Arial Nova Light" w:hAnsi="Arial Nova Light"/>
                <w:sz w:val="18"/>
                <w:szCs w:val="18"/>
              </w:rPr>
              <w:t>Karmina</w:t>
            </w:r>
            <w:proofErr w:type="spellEnd"/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kierunek rozwoju wielofunkcyjnego obszarów wiejskich: dopuszczenie zabudowy zagrodowej oraz uzupełniającej zabudowę zagrodową i funkcje rolnicze na terenach odpowiadających takim uwarunkowaniom. Chronić gleby wysokich klas, ale nie rozszerzać ochrony na grunty słabsze bez indywidualnej analizy.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3078" w14:textId="017525BA" w:rsidR="004B67E6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4B5A" w14:textId="3FC5F853" w:rsidR="004B67E6" w:rsidRPr="0050118C" w:rsidRDefault="0058456D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ma charakter ogólny i nie określa szczegółowych zasad rozwoju poszczególnych miejscowości ani przeznaczenia konkretnych terenów. Ustalenia dotyczące rozwoju zabudowy mieszkaniowej, zagrodowej i funkcji rolniczych w Karminie zostaną określone w planie ogólnym oraz miejscowych planach zagospodarowania przestrzennego.</w:t>
            </w:r>
          </w:p>
        </w:tc>
      </w:tr>
      <w:tr w:rsidR="004B67E6" w:rsidRPr="0050118C" w14:paraId="7717D4A1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0E2B" w14:textId="298409FE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7.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5925" w14:textId="2E405FCF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Cel operacyjny 2.1 „Wysoka jakość urządzeń sieciowych”, s. 53-55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ABE6" w14:textId="1EFC1837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akcentuje rozwój sieci, lecz nie wskazuje współpracy z inwestorami prywatnymi, którzy realizują lub finansują drogi i uzbrojenie.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46A9" w14:textId="6CD6CB92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kierunek: „koordynacja rozwoju sieci z planowanymi terenami mieszkaniowymi oraz współpraca z gestorami i inwestorami prywatnymi przy budowie i przekazywaniu infrastruktury służącej mieszkańcom”.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8C67" w14:textId="1E30214A" w:rsidR="004B67E6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F814" w14:textId="711F8ACB" w:rsidR="004B67E6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Aktualizacja Strategii na lata 2024–2033 nie zakłada zmiany celów strategicznych, celów operacyjnych ani kierunków działań. Ich zachowanie służy zapewnieniu ciągłości realizacji dokumentu oraz umożliwia ocenę postępów w całym okresie jej obowiązywania. Strategia jest dokumentem o charakterze ogólnym i kierunkowym. Dokument zakłada już rozwój infrastruktury drogowej i sieciowej. Szczegółowe zasady </w:t>
            </w:r>
            <w:r w:rsidR="0058456D" w:rsidRPr="0050118C">
              <w:rPr>
                <w:rFonts w:ascii="Arial Nova Light" w:hAnsi="Arial Nova Light" w:cstheme="minorHAnsi"/>
                <w:sz w:val="18"/>
                <w:szCs w:val="18"/>
              </w:rPr>
              <w:t>realizacji inwestycji są ustalane indywidulanie.</w:t>
            </w: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 </w:t>
            </w:r>
          </w:p>
        </w:tc>
      </w:tr>
      <w:tr w:rsidR="004B67E6" w:rsidRPr="0050118C" w14:paraId="769C8A8B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1B9F" w14:textId="520FE613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8.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9BC5" w14:textId="76A855AC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Cel strategiczny 3 / cel 3.1, s. 57-59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BBD1" w14:textId="4839A5C9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Przyjazność dla inwestorów została odniesiona głównie do działalności gospodarczej. Pominięto inwestorów mieszkaniowych, mimo że rozwój budownictwa zwiększa bazę podatkową, przeciwdziała ujemnemu saldu migracji i wykorzystuje istniejącą infrastrukturę.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264E" w14:textId="3789E783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Rozszerzyć kierunki działania o wspieranie odpowiednich inwestycji mieszkaniowych, zwłaszcza w obszarach predysponowanych do rozwoju: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niewkach, Karminie i Lubocześnicy, oraz o sprawną koordynację postępowań planistycznych i infrastrukturalnych.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4F08" w14:textId="3779D260" w:rsidR="004B67E6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D7CC" w14:textId="2FF44FF2" w:rsidR="004B67E6" w:rsidRPr="0050118C" w:rsidRDefault="0058456D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Cel operacyjny 3.1 dotyczy rozwoju przedsiębiorczości, natomiast rozwój zabudowy mieszkaniowej został ujęty w przestrzennym wymiarze Strategii. Aktualizacja nie przewiduje zmiany przyjętych celów ani kierunków działań.</w:t>
            </w:r>
          </w:p>
        </w:tc>
      </w:tr>
      <w:tr w:rsidR="004B67E6" w:rsidRPr="0050118C" w14:paraId="714A05D4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E3BD" w14:textId="0930CF19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9.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392" w14:textId="32EBA0A5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diagnoza demograficzna, s. 22-27 oraz cele społeczne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7FE6" w14:textId="6699E583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stwierdza ujemny przyrost naturalny i saldo migracji. Brak jest niewystarczającego łączenia przeciwdziałania depopulacji z dostępnością nowych mieszkań i działek budowlanych.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5573" w14:textId="219DDCFE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jako instrument polityki demograficznej zapewnienie zróżnicowanej podaży mieszkań i terenów pod budownictwo jednorodzinne, szczególnie w dobrze skomunikowanych miejscowościach satelitarnych Pniew.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EDC7" w14:textId="7E16CCE7" w:rsidR="004B67E6" w:rsidRPr="0050118C" w:rsidRDefault="0058456D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AC54" w14:textId="4B151289" w:rsidR="004B67E6" w:rsidRPr="0050118C" w:rsidRDefault="0058456D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Uzupełniono wnioski diagnozy oraz opis modelu o znaczenie dostępności zróżnicowanej oferty mieszkaniowej i terenów przygotowanych infrastrukturalnie dla ograniczania odpływu ludności. </w:t>
            </w:r>
          </w:p>
        </w:tc>
      </w:tr>
      <w:tr w:rsidR="004B67E6" w:rsidRPr="0050118C" w14:paraId="7DA77604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84C3" w14:textId="28130145" w:rsidR="004B67E6" w:rsidRPr="0050118C" w:rsidRDefault="004B67E6" w:rsidP="004B67E6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10.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F24C" w14:textId="147EA8D8" w:rsidR="004B67E6" w:rsidRPr="0050118C" w:rsidRDefault="004B67E6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i ewaluacji, s. 92-95 oraz tabela ewaluacyjna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360F" w14:textId="3906B618" w:rsidR="004B67E6" w:rsidRPr="0050118C" w:rsidRDefault="004B67E6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Brakuje mierników jakości i spójności polityki przestrzennej. Sam wzrost pokrycia MPZP nie gwarantuje przewidywalności ani zgodności strategii, planu ogólnego i planów miejscowych.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BF61" w14:textId="4033D1D8" w:rsidR="004B67E6" w:rsidRPr="0050118C" w:rsidRDefault="004B67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Dodać wskaźniki: udział mieszkańców w obszarach objętych MPZP; średni czas procedur; liczba nowych uzbrojonych terenów mieszkaniowych; liczba zrealizowanych porozumień infrastrukturalnych; coroczny raport zgodności strategii z planem ogólnym i MPZP; liczba rozstrzygniętych, a nie </w:t>
            </w:r>
            <w:proofErr w:type="spellStart"/>
            <w:r w:rsidRPr="0050118C">
              <w:rPr>
                <w:rFonts w:ascii="Arial Nova Light" w:hAnsi="Arial Nova Light"/>
                <w:sz w:val="18"/>
                <w:szCs w:val="18"/>
              </w:rPr>
              <w:t>wieloletnio</w:t>
            </w:r>
            <w:proofErr w:type="spellEnd"/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zawieszonych postępowań.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D596" w14:textId="57887315" w:rsidR="004B67E6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C42A" w14:textId="4567C156" w:rsidR="004B67E6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rozszerzono zestawu wskaźników. W aktualizacji zachowuje się przyjęte cele i kierunki działań oraz powiązany z nimi system monitorowania, co umożliwia porównywalną ocenę realizacji Strategii w całym okresie</w:t>
            </w:r>
          </w:p>
        </w:tc>
      </w:tr>
      <w:tr w:rsidR="006D0762" w:rsidRPr="0050118C" w14:paraId="4BC709D7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73E9" w14:textId="3B5D27AF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11.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803F" w14:textId="35D9869C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–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B91F" w14:textId="16781DED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Diagnoza opiera ocenę polityki przestrzennej głównie na danych do 2022 r. i odnosi się do reformy systemu planowania, lecz nie uwzględnia późniejszych, gwałtownych zmian ani stopnia rozwoju planów miejscowych, co w odniesieniu do kluczowych obszarów rozwojowych pozostaje objęte nieukończonymi procedurami.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91A3" w14:textId="1920C9CB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Zaktualizować diagnozę do stanu na 2026 r. i wskazać, że priorytetem jest zapewnienie spójności Strategii, planu ogólnego, MPZP oraz programów infrastrukturalnych, a także przewidywalności i terminowości działań planistycznych.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D69C" w14:textId="5F0A09CC" w:rsidR="006D0762" w:rsidRPr="0050118C" w:rsidRDefault="0058456D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E197" w14:textId="028911DE" w:rsidR="006D0762" w:rsidRPr="0050118C" w:rsidRDefault="0058456D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Uzupełniono wnioski z diagnozy sytuacji przestrzennej.</w:t>
            </w:r>
          </w:p>
        </w:tc>
      </w:tr>
      <w:tr w:rsidR="006D0762" w:rsidRPr="0050118C" w14:paraId="74FE4811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487C" w14:textId="1606B0D7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12.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8C8C" w14:textId="750DCE6F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operacyjny 1.2 „Uregulowana polityka przestrzenna”, s. 49-52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A5FC" w14:textId="19EA292B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Kierunek „prowadzenie racjonalnej polityki przestrzennej” jest zbyt ogólny i nie daje wystarczających wskazówek dla dokumentów wykonawczych.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8731" w14:textId="473A27D8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kierunek działania: „zapewnienie spójności dokumentów strategicznych i planistycznych, uwzględnianie istniejącego stanu zagospodarowania, prawomocnych decyzji administracyjnych, rozpoczętych inwestycji oraz istniejącej i realizowanej infrastruktury, z zachowaniem zasad proporcjonalności i ładu przestrzennego”.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4A0D" w14:textId="28B3CE0A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BA19" w14:textId="2F3506FB" w:rsidR="006D0762" w:rsidRPr="0050118C" w:rsidRDefault="002F4003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na lata 2024–2033 nie zakłada zmiany przyjętych celów ani kierunków działań. Strategia ma charakter ogólny, natomiast szczegółowe ustalenia określają plan ogólny i miejscowe plany zagospodarowania przestrzennego. Nie ma również potrzeby dodawania obowiązku zachowania spójności dokumentów, ponieważ wynika on bezpośrednio z przepisów prawa.</w:t>
            </w:r>
          </w:p>
        </w:tc>
      </w:tr>
      <w:tr w:rsidR="006D0762" w:rsidRPr="0050118C" w14:paraId="287200B8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8CD5" w14:textId="6A4B0BFF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13.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B239" w14:textId="2DB56845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funkcjonalno-przestrzennej, s. 72-73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35D0" w14:textId="40836322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Projekt prawidłowo wskazuje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niewki i Karmin jako miejscowości predysponowane do rozwoju zabudowy jednorodzinnej z uwagi na dostęp do infrastruktury technicznej i społecznej. Zapis wymaga doprecyzowania, aby stanowił jednoznaczną rekomendację dla przyszłych dokumentów planistycznych.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1ED6" w14:textId="0B7EE154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Dopisać, że rozwój mieszkaniowy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 powinien następować w pierwszej kolejności przez kontynuację istniejących i rozpoczętych struktur osadniczych, wykorzystanie terenów uzbrojonych lub objętych realizacją infrastruktury oraz etapowe włączanie obszarów funkcjonalnie powiązanych z istniejącą zabudową.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F360" w14:textId="2A5DAB97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8F8D" w14:textId="0634F30B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6DFED692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6D48" w14:textId="1889A755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14.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4636" w14:textId="236DE0EE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 – część graficzna, s. 69-72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6467" w14:textId="1D96FC0E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Tekstowy kierunek rozwoju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niewek i </w:t>
            </w:r>
            <w:proofErr w:type="spellStart"/>
            <w:r w:rsidRPr="0050118C">
              <w:rPr>
                <w:rFonts w:ascii="Arial Nova Light" w:hAnsi="Arial Nova Light"/>
                <w:sz w:val="18"/>
                <w:szCs w:val="18"/>
              </w:rPr>
              <w:t>Karmina</w:t>
            </w:r>
            <w:proofErr w:type="spellEnd"/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powinien być czytelny także na mapie modelu, w skali właściwej dla Strategii. Brak graficznego odzwierciedlenia może osłabić późniejszą interpretację kierunku rozwoju.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94A4" w14:textId="445062D4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model graficzny o kierunkowe oznaczenie rozwoju zabudowy mieszkaniowej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Karminie, bez przesądzania granic działek, z preferencją terenów uzbrojonych, skomunikowanych i powiązanych z istniejącą strukturą osadniczą.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2D85" w14:textId="7417294F" w:rsidR="006D0762" w:rsidRPr="0050118C" w:rsidRDefault="00F7090B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2E44" w14:textId="31DA3D2B" w:rsidR="006D0762" w:rsidRPr="0050118C" w:rsidRDefault="00CD0DB4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graficzny ma charakter kierunkowy i wskazuje miejscowości predysponowane do rozwoju, a nie konkretne tereny inwestycyjne. Przedstawiona sieć osadnicza wynika z istniejących dokumentów, lecz nie przesądza, że rozwój może następować wyłącznie w jej granicach. Szczegółowe ustalenia określą plan ogólny i miejscowe plany zagospodarowania przestrzennego.</w:t>
            </w:r>
          </w:p>
        </w:tc>
      </w:tr>
      <w:tr w:rsidR="006D0762" w:rsidRPr="0050118C" w14:paraId="3D33ED7F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8025" w14:textId="1759F1A6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15.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F4DD" w14:textId="495AD756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przestrzennej, s. 73-85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B1EF" w14:textId="6A156C01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Brakuje wyraźnej zasady etapowania rozwoju i wykorzystywania infrastruktury już istniejącej lub realizowanej. W praktyce może to prowadzić do wyłączania całych nieruchomości, mimo że ich część spełnia warunki racjonalnej kontynuacji zabudowy.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C3A9" w14:textId="52DD5201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rekomendację: „nowe tereny zabudowy wyznacza się etapowo, w pierwszej kolejności w oparciu o istniejące lub realizowane drogi i sieci, przy czym dopuszcza się rozwiązania częściowe, etapowe, pozwalające zachować pozostałe grunty jako otwarte, z jednoczesnym wykorzystaniu części najlepiej przygotowanych inwestycyjnie”.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2030" w14:textId="3883A85D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8A3D" w14:textId="668C7DE5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4417F120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08D7" w14:textId="32E39CF3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16.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E291" w14:textId="3D03E605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Cel operacyjny dotyczący infrastruktury sieciowej, s. 53-55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B2EF" w14:textId="0F9FE2EF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przewiduje rozwój sieci, lecz nie wskazuje mechanizmu koordynacji z planowanymi terenami mieszkaniowymi ani współpracy z gestorami i inwestorami prywatnymi.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7FF" w14:textId="03D193E4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kierunek: „koordynacja rozwoju sieci z drogami i kierunkami rozwoju zabudowy oraz zawieranie porozumień z gestorami i inwestorami prywatnymi w zakresie budowy, finansowania i przekazywania infrastruktury służącej mieszkańcom”.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6E23" w14:textId="14F40E35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2004" w14:textId="65441221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na lata 2024–2033 nie zakłada zmiany celów strategicznych, celów operacyjnych ani kierunków działań. Ich zachowanie służy zapewnieniu ciągłości realizacji dokumentu oraz umożliwia ocenę postępów w całym okresie jej obowiązywania. Strategia jest dokumentem o charakterze ogólnym i kierunkowym. Dokument zakłada już rozwój infrastruktury drogowej i sieciowej. Szczegółowe zasady realizacji inwestycji są ustalane indywidulanie.</w:t>
            </w:r>
          </w:p>
        </w:tc>
      </w:tr>
      <w:tr w:rsidR="006D0762" w:rsidRPr="0050118C" w14:paraId="6AC57048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30E3" w14:textId="5C1CCBF6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17.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39F" w14:textId="599C173F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i tabela ewaluacyjna, s. 92-95 i 189-193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579C" w14:textId="1A2333A0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Tabela ewaluacyjna ogranicza się głównie do odnotowania wykonania działań i nie pozwala ocenić spójności polityki przestrzennej ani rzeczywistego przygotowania terenów rozwojowych.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9BAB" w14:textId="53803187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mierniki: udział powierzchni gminy objętej MPZP; powierzchnia nowych uzbrojonych terenów mieszkaniowych; liczba zawartych porozumień infrastrukturalnych; coroczna ocena zgodności Strategii z planem ogólnym i MPZP; udział nowych terenów mieszkaniowych wyznaczonych w miejscowościach wskazanych w modelu jako predysponowane do rozwoju.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C399" w14:textId="71D1C00C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A247" w14:textId="114951DA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rozszerzono zestawu wskaźników. W aktualizacji zachowuje się przyjęte cele i kierunki działań oraz powiązany z nimi system monitorowania, co umożliwia porównywalną ocenę realizacji Strategii w całym okresie.</w:t>
            </w:r>
          </w:p>
        </w:tc>
      </w:tr>
      <w:tr w:rsidR="006D0762" w:rsidRPr="0050118C" w14:paraId="04B6DA4E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68FA" w14:textId="2B895830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18.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0B2D" w14:textId="3A37DEA6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–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7459" w14:textId="08109602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Diagnoza nie pokazuje w wystarczający sposób problemów mieszkańców i właścicieli nieruchomości wynikających z długotrwałych oraz nakładających się procedur planistycznych.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3A40" w14:textId="7F577369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Uzupełnić diagnozę o potrzebę terminowego prowadzenia procedur, zapewnienia czytelnej informacji dla mieszkańców oraz koordynacji Strategii, planu ogólnego i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miejscowych planów zagospodarowania przestrzennego.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5A67" w14:textId="15D436FF" w:rsidR="006D0762" w:rsidRPr="0050118C" w:rsidRDefault="00FC0D41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lastRenderedPageBreak/>
              <w:t xml:space="preserve">Nie </w:t>
            </w:r>
            <w:r w:rsidR="00BA6874"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0140" w14:textId="7291FA60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Przebieg i terminy procedur planistycznych oraz zasady informowania mieszkańców określają odrębne przepisy i nie stanowią przedmiotu Strategii.</w:t>
            </w:r>
          </w:p>
        </w:tc>
      </w:tr>
      <w:tr w:rsidR="006D0762" w:rsidRPr="0050118C" w14:paraId="307D669B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990A" w14:textId="2DC15B00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19.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D12D" w14:textId="0C655761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operacyjny 1.2 „Uregulowana polityka przestrzenna”, s. 49-52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7C33" w14:textId="58F3752F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Samo wskazanie racjonalnej polityki przestrzennej jest zbyt ogólne. Z punktu widzenia mieszkańców istotne są stabilność kierunków rozwoju i możliwość przewidywania skutków decyzji gminy.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63A2" w14:textId="0EE3779A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zasadę przejrzystości, ciągłości i proporcjonalności polityki przestrzennej, z uwzględnieniem istniejącej infrastruktury, rozpoczętych postępowań i rzeczywistego sposobu zagospodarowania terenów.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ECAF" w14:textId="16C1806D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BD34" w14:textId="3F587CEA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nie zakłada zmiany przyjętych kierunków działań. Szczegółowe zasady prowadzenia polityki przestrzennej oraz uwzględniania istniejącego zagospodarowania i infrastruktury określają akty planowania przestrzennego oraz odrębne przepisy.</w:t>
            </w:r>
          </w:p>
        </w:tc>
      </w:tr>
      <w:tr w:rsidR="006D0762" w:rsidRPr="0050118C" w14:paraId="2808854B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25AB" w14:textId="24286594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20.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F767" w14:textId="26D5EC3F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funkcjonalno-przestrzennej, s. 72-73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DB92" w14:textId="476FF529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Karmin został słusznie wskazany jako miejscowość predysponowana do rozwoju zabudowy jednorodzinnej z uwagi na dostęp do infrastruktury. Zapis ten powinien mieć jednoznaczne przełożenie na dalsze dokumenty gminne.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4FDF" w14:textId="2D1CF1CC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Doprecyzować, że rozwój mieszkaniowy w Karminie powinien obejmować przede wszystkim tereny przylegające do dróg i sieci, funkcjonalnie związane z istniejącą zabudową oraz możliwe do rozwiązania etapami.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0410" w14:textId="766761C2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C2CA" w14:textId="2DDEBA79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0FC208B0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53C7" w14:textId="12C9A90B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21.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E8B5" w14:textId="77D4F5B7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 – część graficzna, s. 69-72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6BC7" w14:textId="4A74F906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Kierunek rozwoju </w:t>
            </w:r>
            <w:proofErr w:type="spellStart"/>
            <w:r w:rsidRPr="0050118C">
              <w:rPr>
                <w:rFonts w:ascii="Arial Nova Light" w:hAnsi="Arial Nova Light"/>
                <w:sz w:val="18"/>
                <w:szCs w:val="18"/>
              </w:rPr>
              <w:t>Karmina</w:t>
            </w:r>
            <w:proofErr w:type="spellEnd"/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powinien być widoczny nie tylko w części opisowej, ale również na mapie modelu, aby uniknąć późniejszych rozbieżności interpretacyjnych.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8D3A" w14:textId="048233D3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Wprowadzić na mapie modelu kierunkowe oznaczenie rozwoju zabudowy mieszkaniowej w Karminie, bez wskazywania konkretnych działek, ale z preferencją terenów skomunikowanych i uzbrojonych.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E568" w14:textId="3CC0A85C" w:rsidR="006D0762" w:rsidRPr="0050118C" w:rsidRDefault="00CD0DB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79A9" w14:textId="249BE506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graficzny ma charakter kierunkowy i wskazuje miejscowości predysponowane do rozwoju, a nie konkretne tereny inwestycyjne. Przedstawiona sieć osadnicza wynika z istniejących dokumentów, lecz nie przesądza, że rozwój może następować wyłącznie w jej granicach. Szczegółowe ustalenia określą plan ogólny i miejscowe plany zagospodarowania przestrzennego.</w:t>
            </w:r>
          </w:p>
        </w:tc>
      </w:tr>
      <w:tr w:rsidR="006D0762" w:rsidRPr="0050118C" w14:paraId="2818FD55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3F592" w14:textId="4465E340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22.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AD44" w14:textId="3FE35C99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przestrzennej, s. 73-85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F1A0" w14:textId="120AD490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Brak zasady etapowania może prowadzić do całkowitego wyłączania dużych nieruchomości z możliwości rozwoju, mimo że ich część położona przy drodze i infrastrukturze spełnia racjonalne warunki zabudowy.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84DB" w14:textId="4489408D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rekomendację dopuszczającą częściowe i etapowe wyznaczanie terenów rozwojowych, z zachowaniem części otwartych oraz wykorzystaniem fragmentów najlepiej przygotowanych inwestycyjnie.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979C" w14:textId="6F6F6804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EB2E" w14:textId="1FF66029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31E24872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7381" w14:textId="289EB2C5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23.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FC98" w14:textId="106441CF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Strategii, s. 92-95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402B" w14:textId="607E2974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nie przewiduje mierników pozwalających ocenić, czy rozwój miejscowości wiejskich faktycznie następuje zgodnie z modelem.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694C" w14:textId="630924E0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Dodać coroczne monitorowanie liczby i powierzchni nowych terenów mieszkaniowych oraz stopnia rozwoju infrastruktury w miejscowościach wskazanych jako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predysponowane do rozwoju, w tym w Karminie.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3A83" w14:textId="18689703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lastRenderedPageBreak/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8C61" w14:textId="5766E3BC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Nie rozszerzono zestawu wskaźników. W aktualizacji zachowuje się przyjęte cele i kierunki działań oraz powiązany z nimi system monitorowania, co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umożliwia porównywalną ocenę realizacji Strategii w całym okresie.</w:t>
            </w:r>
          </w:p>
        </w:tc>
      </w:tr>
      <w:tr w:rsidR="006D0762" w:rsidRPr="0050118C" w14:paraId="279DF596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03C5" w14:textId="6CEBBE9B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24.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8BE9" w14:textId="2E74D59F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–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4057" w14:textId="391AE3E2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Diagnoza nie pokazuje w wystarczający sposób problemów mieszkańców i właścicieli nieruchomości wynikających z długotrwałych oraz nakładających się procedur planistycznych.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0326" w14:textId="57A52EF1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diagnozę o potrzebę terminowego prowadzenia procedur, zapewnienia czytelnej informacji dla mieszkańców oraz koordynacji Strategii, planu ogólnego i miejscowych planów zagospodarowania przestrzennego.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B5D2" w14:textId="67091AEE" w:rsidR="006D0762" w:rsidRPr="0050118C" w:rsidRDefault="00FC0D41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4482" w14:textId="635AFBFE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Przebieg i terminy procedur planistycznych oraz zasady informowania mieszkańców określają odrębne przepisy i nie stanowią przedmiotu Strategii.</w:t>
            </w:r>
          </w:p>
        </w:tc>
      </w:tr>
      <w:tr w:rsidR="006D0762" w:rsidRPr="0050118C" w14:paraId="33AAA0C4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624F" w14:textId="5718D0E3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25.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6F53" w14:textId="5333FDBE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operacyjny 1.2 „Uregulowana polityka przestrzenna”, s. 49-52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C275" w14:textId="7706A538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Samo wskazanie racjonalnej polityki przestrzennej jest zbyt ogólne. Z punktu widzenia mieszkańców istotne są stabilność kierunków rozwoju i możliwość przewidywania skutków decyzji gminy.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CD5C" w14:textId="54FD5518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zasadę przejrzystości, ciągłości i proporcjonalności polityki przestrzennej, z uwzględnieniem istniejącej infrastruktury, rozpoczętych postępowań i rzeczywistego sposobu zagospodarowania terenów.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0781" w14:textId="7F761784" w:rsidR="006D0762" w:rsidRPr="0050118C" w:rsidRDefault="005528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CBD5" w14:textId="6F7F0283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nie zakłada zmiany przyjętych kierunków działań. Szczegółowe zasady prowadzenia polityki przestrzennej oraz uwzględniania istniejącego zagospodarowania i infrastruktury określają akty planowania przestrzennego oraz odrębne przepisy.</w:t>
            </w:r>
          </w:p>
        </w:tc>
      </w:tr>
      <w:tr w:rsidR="006D0762" w:rsidRPr="0050118C" w14:paraId="000EA9B5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58BE" w14:textId="4ACD7139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26.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4D30" w14:textId="0C9A38B8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funkcjonalno-przestrzennej, s. 72-73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EDF3" w14:textId="15B66E63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Karmin został słusznie wskazany jako miejscowość predysponowana do rozwoju zabudowy jednorodzinnej z uwagi na dostęp do infrastruktury. Zapis ten powinien mieć jednoznaczne przełożenie na dalsze dokumenty gminne.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5001" w14:textId="12B57853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Doprecyzować, że rozwój mieszkaniowy w Karminie powinien obejmować przede wszystkim tereny przylegające do dróg i sieci, funkcjonalnie związane z istniejącą zabudową oraz możliwe do rozwiązania etapami.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1034" w14:textId="243B2C77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6C90" w14:textId="49D3BE5D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2826FB0B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2C9E" w14:textId="59D71A39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27.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7527" w14:textId="137EA464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 – część graficzna, s. 69-72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32C8" w14:textId="56D5D002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Kierunek rozwoju </w:t>
            </w:r>
            <w:proofErr w:type="spellStart"/>
            <w:r w:rsidRPr="0050118C">
              <w:rPr>
                <w:rFonts w:ascii="Arial Nova Light" w:hAnsi="Arial Nova Light"/>
                <w:sz w:val="18"/>
                <w:szCs w:val="18"/>
              </w:rPr>
              <w:t>Karmina</w:t>
            </w:r>
            <w:proofErr w:type="spellEnd"/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 powinien być widoczny nie tylko w części opisowej, ale również na mapie modelu, aby uniknąć późniejszych rozbieżności interpretacyjnych.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05C9" w14:textId="6399BDFB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Wprowadzić na mapie modelu kierunkowe oznaczenie rozwoju zabudowy mieszkaniowej w Karminie, bez wskazywania konkretnych działek, ale z preferencją terenów skomunikowanych i uzbrojonych.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D5C5" w14:textId="6FB25120" w:rsidR="006D0762" w:rsidRPr="0050118C" w:rsidRDefault="00CD0DB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DA2F" w14:textId="00DD98B0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graficzny ma charakter kierunkowy i wskazuje miejscowości predysponowane do rozwoju, a nie konkretne tereny inwestycyjne. Przedstawiona sieć osadnicza wynika z istniejących dokumentów, lecz nie przesądza, że rozwój może następować wyłącznie w jej granicach. Szczegółowe ustalenia określą plan ogólny i miejscowe plany zagospodarowania przestrzennego.</w:t>
            </w:r>
          </w:p>
        </w:tc>
      </w:tr>
      <w:tr w:rsidR="006D0762" w:rsidRPr="0050118C" w14:paraId="1810D4BA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90C9" w14:textId="1789ABDF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28.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6D47" w14:textId="7C7556FB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przestrzennej, s. 73-85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0F2D1" w14:textId="1C1A3D8C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Brak zasady etapowania może prowadzić do całkowitego wyłączania dużych nieruchomości z możliwości rozwoju, mimo że ich część położona przy drodze i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infrastrukturze spełnia racjonalne warunki zabudowy.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1457" w14:textId="35B7E4E6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 xml:space="preserve">Dodać rekomendację dopuszczającą częściowe i etapowe wyznaczanie terenów rozwojowych, z zachowaniem części otwartych oraz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wykorzystaniem fragmentów najlepiej przygotowanych inwestycyjnie.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3454" w14:textId="4BDE09DB" w:rsidR="006D0762" w:rsidRPr="0050118C" w:rsidRDefault="00FC0D41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lastRenderedPageBreak/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7BD7" w14:textId="202CE71C" w:rsidR="006D0762" w:rsidRPr="0050118C" w:rsidRDefault="00FC0D41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W opisie modelu oraz ustaleniach i rekomendacjach dodano zapisy mówiące o koncentracji nowej zabudowy w pierwszej kolejności w granicach istniejących struktur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osadniczych oraz na terenach wyposażonych w infrastrukturę.</w:t>
            </w:r>
          </w:p>
        </w:tc>
      </w:tr>
      <w:tr w:rsidR="006D0762" w:rsidRPr="0050118C" w14:paraId="413D812C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B371" w14:textId="115DFB49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29.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E805" w14:textId="3C96E667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Strategii, s. 92-95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C5DC" w14:textId="6AD51881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nie przewiduje mierników pozwalających ocenić, czy rozwój miejscowości wiejskich faktycznie następuje zgodnie z modelem.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4BB0" w14:textId="0C19FB9C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coroczne monitorowanie liczby i powierzchni nowych terenów mieszkaniowych oraz stopnia rozwoju infrastruktury w miejscowościach wskazanych jako predysponowane do rozwoju, w tym w Karminie.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57D9" w14:textId="3D174578" w:rsidR="006D0762" w:rsidRPr="0050118C" w:rsidRDefault="000A4B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E4CE" w14:textId="213B92DE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rozszerzono zestawu wskaźników. W aktualizacji zachowuje się przyjęte cele i kierunki działań oraz powiązany z nimi system monitorowania, co umożliwia porównywalną ocenę realizacji Strategii w całym okresie</w:t>
            </w:r>
          </w:p>
        </w:tc>
      </w:tr>
      <w:tr w:rsidR="006D0762" w:rsidRPr="0050118C" w14:paraId="20330C5B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5E5E" w14:textId="52357C60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30.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3B87" w14:textId="200BDDDA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–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7BCB" w14:textId="024AA9D9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Diagnoza nie uwzględnia w pełni skali zmian zachodzących w miejscowościach, w tym rozwoju zabudowy mieszkaniowej, podziałów nieruchomości i realizowanej infrastruktury.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D4BF" w14:textId="5AEC2C44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diagnozę o aktualny stan rozwoju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niewek, wskazując tę miejscowość jako jeden z głównych kierunków rozwoju mieszkaniowego w bezpośrednim otoczeniu miasta Pniewy.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4720" w14:textId="1A8D666C" w:rsidR="006D0762" w:rsidRPr="0050118C" w:rsidRDefault="00DD68C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891E" w14:textId="279068FA" w:rsidR="006D0762" w:rsidRPr="0050118C" w:rsidRDefault="00DD68C4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Uzupełniono wnioski z diagnozy sytuacji przestrzennej.</w:t>
            </w:r>
          </w:p>
        </w:tc>
      </w:tr>
      <w:tr w:rsidR="006D0762" w:rsidRPr="0050118C" w14:paraId="00AE91CC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5DBA" w14:textId="74489336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31.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8BDB" w14:textId="338A2DC1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operacyjny 1.2 „Uregulowana polityka przestrzenna”, s. 49-52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F799" w14:textId="570A0ED5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powinna mocniej chronić ciągłość rozpoczętych procesów inwestycyjnych i zapobiegać rozbieżnościom pomiędzy dokumentami strategicznymi, planistycznymi i rozwojem sieci.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7468" w14:textId="37E7E825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obowiązek okresowej kontroli spójności Strategii z planem ogólnym, MPZP i programami infrastrukturalnymi oraz uwzględnienia istniejących i realizowanych inwestycji.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B317" w14:textId="66157DA6" w:rsidR="006D0762" w:rsidRPr="0050118C" w:rsidRDefault="00DD68C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561D" w14:textId="1BABA64E" w:rsidR="006D0762" w:rsidRPr="0050118C" w:rsidRDefault="00DD68C4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na lata 2024–2033 nie zakłada zmiany przyjętych celów ani kierunków działań. Strategia ma charakter ogólny, natomiast szczegółowe ustalenia określają plan ogólny i miejscowe plany zagospodarowania przestrzennego. Nie ma również potrzeby dodawania obowiązku zachowania spójności dokumentów, ponieważ wynika on bezpośrednio z przepisów prawa.</w:t>
            </w:r>
          </w:p>
        </w:tc>
      </w:tr>
      <w:tr w:rsidR="006D0762" w:rsidRPr="0050118C" w14:paraId="71B82AA2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EAF1" w14:textId="391CA84A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32.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035A" w14:textId="56C19EAB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funkcjonalno-przestrzennej, s. 72-73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9D43" w14:textId="316B10F5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niewki zostały prawidłowo wskazane jako miejscowość predysponowana do rozwoju zabudowy jednorodzinnej. Kierunek ten powinien obejmować również kontynuację już rozpoczętych zespołów mieszkaniowych.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0010" w14:textId="73766230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Dopisać, że rozwój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niewek powinien następować poprzez kontynuację istniejącej i rozpoczętej zabudowy, wykorzystanie terenów posiadających dostęp do infrastruktury oraz etapowe włączanie spójnych struktur osadniczych.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2EDE" w14:textId="6F0BA767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D850" w14:textId="0D25A2AE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28118676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842F" w14:textId="2F622EA1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33.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D851" w14:textId="068CC679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model struktury funkcjonalno-przestrzennej – część graficzna, s. 69-72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5BB7" w14:textId="1FA1CDD1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Brak czytelnego graficznego wskazania kierunku rozwoju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niewek w skali Strategii uniemożliwia właściwe określenie znaczenia korzystnych zapisów tekstowych.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4F79" w14:textId="1D618080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Oznaczyć na mapie modelu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niewki jako kierunek rozwoju zabudowy mieszkaniowej, z preferencją terenów uzbrojonych, skomunikowanych lub objętych realizacją infrastruktury.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C68C" w14:textId="3DE4F50B" w:rsidR="006D0762" w:rsidRPr="0050118C" w:rsidRDefault="00DD68C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D0C8" w14:textId="2B433FE4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 xml:space="preserve">Model graficzny ma charakter kierunkowy i wskazuje miejscowości predysponowane do rozwoju, a nie konkretne tereny inwestycyjne. Przedstawiona sieć osadnicza wynika z istniejących dokumentów, lecz nie przesądza, że rozwój może 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lastRenderedPageBreak/>
              <w:t>następować wyłącznie w jej granicach. Szczegółowe ustalenia określą plan ogólny i miejscowe plany zagospodarowania przestrzennego.</w:t>
            </w:r>
          </w:p>
        </w:tc>
      </w:tr>
      <w:tr w:rsidR="006D0762" w:rsidRPr="0050118C" w14:paraId="4FBB6E11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35CF" w14:textId="358FB745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34.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10FA" w14:textId="27211629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 dotyczący infrastruktury technicznej i drogowej, s. 53-55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2B4C" w14:textId="3B5BE44F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Rozwój nowych osiedli wymaga ogólnego planowania dróg, sieci wodno-kanalizacyjnych, energetycznych i innych urządzeń służących mieszkańcom.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F2B4" w14:textId="4F527421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mechanizm koordynacji rozwoju zabudowy z inwestycjami sieciowymi i drogowymi oraz możliwość zawierania porozumień z inwestorami prywatnymi w zakresie realizacji i przekazywania infrastruktury.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B30A" w14:textId="2DCC9528" w:rsidR="006D0762" w:rsidRPr="0050118C" w:rsidRDefault="00DD68C4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63B2" w14:textId="1C545F25" w:rsidR="006D0762" w:rsidRPr="0050118C" w:rsidRDefault="00DD68C4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Aktualizacja Strategii na lata 2024–2033 nie zakłada zmiany celów strategicznych, celów operacyjnych ani kierunków działań. Ich zachowanie służy zapewnieniu ciągłości realizacji dokumentu oraz umożliwia ocenę postępów w całym okresie jej obowiązywania. Strategia jest dokumentem o charakterze ogólnym i kierunkowym. Dokument zakłada już rozwój infrastruktury drogowej i sieciowej. Szczegółowe zasady realizacji inwestycji są ustalane indywidulanie.</w:t>
            </w:r>
          </w:p>
        </w:tc>
      </w:tr>
      <w:tr w:rsidR="006D0762" w:rsidRPr="0050118C" w14:paraId="42EF21D4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6A2D" w14:textId="32346306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35.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1EAF" w14:textId="293DF021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i ewaluacji, s. 92-95 i 189-193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ED5A" w14:textId="4831E92C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Obecne wskaźniki nie pozwalają ocenić, czy Gmina rzeczywiście przygotowuje tereny mieszkaniowe w miejscowościach wskazanych w modelu.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5E00" w14:textId="408B8378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mierniki dotyczące powierzchni nowych uzbrojonych terenów mieszkaniowych, liczby zakończonych inwestycji infrastrukturalnych oraz udziału rozwoju realizowanego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innych wskazanych miejscowościach.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0AB5" w14:textId="276F2145" w:rsidR="006D0762" w:rsidRPr="0050118C" w:rsidRDefault="000A4B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7A06" w14:textId="6D5C1673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rozszerzono zestawu wskaźników. W aktualizacji zachowuje się przyjęte cele i kierunki działań oraz powiązany z nimi system monitorowania, co umożliwia porównywalną ocenę realizacji Strategii w całym okresie</w:t>
            </w:r>
          </w:p>
        </w:tc>
      </w:tr>
      <w:tr w:rsidR="006D0762" w:rsidRPr="0050118C" w14:paraId="4B87B997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A033" w14:textId="65754CBF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36.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AABB" w14:textId="0F610BBA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I, s. 14-15 – Planowanie i zagospodarowanie przestrzenne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987B" w14:textId="190B866F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powinna silniej powiązać politykę przestrzenną z potrzebami demograficznymi Gminy, w tym utrzymaniem mieszkańców i zwiększaniem dostępności nowych mieszkań.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8AA4" w14:textId="6A311C13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Uzupełnić diagnozę o znaczenie dostępnej oferty mieszkaniowej, efektywnej polityki przestrzennej i przygotowania uzbrojonych terenów dla przeciwdziałania ujemnym trendom demograficznym.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74E5" w14:textId="10901BE0" w:rsidR="006D0762" w:rsidRPr="0050118C" w:rsidRDefault="0050118C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3B53" w14:textId="7FA2E002" w:rsidR="006D0762" w:rsidRPr="0050118C" w:rsidRDefault="0050118C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Uzupełniono wnioski diagnozy oraz opis modelu o znaczenie dostępności zróżnicowanej oferty mieszkaniowej i terenów przygotowanych infrastrukturalnie dla ograniczania odpływu ludności.</w:t>
            </w:r>
          </w:p>
        </w:tc>
      </w:tr>
      <w:tr w:rsidR="006D0762" w:rsidRPr="0050118C" w14:paraId="73A623B3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B8E9" w14:textId="51411BEE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37.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A16E" w14:textId="790EF73D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cele strategiczne w wymiarze przestrzennym i społecznym, s. 46-63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CA2F" w14:textId="4E2FE668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Cele przestrzenne, infrastrukturalne i społeczne są opisane oddzielnie, mimo że jakość życia mieszkańców zależy od ich równoległej realizacji.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4305" w14:textId="1EA6F861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kierunek integrujący rozwój mieszkaniowy z dostępem do dróg, sieci, transportu publicznego, zieleni i usług społecznych.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D767" w14:textId="64C0689B" w:rsidR="006D0762" w:rsidRPr="0050118C" w:rsidRDefault="0050118C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7A4A" w14:textId="14D0F4D7" w:rsidR="006D0762" w:rsidRPr="0050118C" w:rsidRDefault="0050118C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 xml:space="preserve">Aktualizacja Strategii nie zakłada zmiany przyjętych kierunków działań. Podział celów strategicznych na poszczególne wymiary wynika z ustawy o zasadach prowadzenia polityki rozwoju, przy czym Strategia stanowi całościowy dokument określający ogólne kierunki rozwoju Gminy. Nie jest ona aktem planowania </w:t>
            </w: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przestrzennego i nie koncentruje się wyłącznie na rozwoju mieszkaniowym.</w:t>
            </w:r>
          </w:p>
        </w:tc>
      </w:tr>
      <w:tr w:rsidR="006D0762" w:rsidRPr="0050118C" w14:paraId="45E9B7D3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7A6B" w14:textId="6F94ECC7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lastRenderedPageBreak/>
              <w:t>38.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4664" w14:textId="0693577D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struktury funkcjonalno-przestrzennej, s. 64-85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5D44" w14:textId="5D901D5E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Model powinien jasno pokazywać, że rozwój zabudowy w miejscowościach satelitarnych i predysponowanych ma następować w sposób zwarty i oszczędny infrastrukturalnie.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EC1E" w14:textId="433F6BAF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Doprecyzować zasadę koncentracji nowej zabudowy na terenach skomunikowanych, uzbrojonych lub możliwych do uzbrojenia przy racjonalnych kosztach, w szczególności w Pod</w:t>
            </w:r>
            <w:r w:rsidR="00B477AF" w:rsidRPr="0050118C">
              <w:rPr>
                <w:rFonts w:ascii="Arial Nova Light" w:hAnsi="Arial Nova Light"/>
                <w:sz w:val="18"/>
                <w:szCs w:val="18"/>
              </w:rPr>
              <w:t>p</w:t>
            </w:r>
            <w:r w:rsidRPr="0050118C">
              <w:rPr>
                <w:rFonts w:ascii="Arial Nova Light" w:hAnsi="Arial Nova Light"/>
                <w:sz w:val="18"/>
                <w:szCs w:val="18"/>
              </w:rPr>
              <w:t>niewkach i Karminie.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22C0" w14:textId="2CB0BFEE" w:rsidR="006D0762" w:rsidRPr="0050118C" w:rsidRDefault="007B409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Uwzględniono częściowo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F025" w14:textId="2D220531" w:rsidR="006D0762" w:rsidRPr="0050118C" w:rsidRDefault="007B4092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W opisie modelu oraz ustaleniach i rekomendacjach dodano zapisy mówiące o koncentracji nowej zabudowy w pierwszej kolejności w granicach istniejących struktur osadniczych oraz na terenach wyposażonych w infrastrukturę.</w:t>
            </w:r>
          </w:p>
        </w:tc>
      </w:tr>
      <w:tr w:rsidR="006D0762" w:rsidRPr="0050118C" w14:paraId="026509DE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E136" w14:textId="36F159AB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39.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9A01" w14:textId="721972AD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ustalenia i rekomendacje polityki przestrzennej, s. 73-85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D37C" w14:textId="555139D4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Strategia nie wskazuje wystarczająco czytelnych zasad dialogu z mieszkańcami i inwestorami podczas przygotowywania dokumentów planistycznych.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FB96" w14:textId="282451E9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zasadę wczesnych konsultacji, publikowania czytelnych map i uzasadnień oraz przedstawiania wariantów rozwoju przed podjęciem decyzji ograniczających rozwój terenów.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8488" w14:textId="31587E92" w:rsidR="006D0762" w:rsidRPr="0050118C" w:rsidRDefault="0050118C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237B" w14:textId="3E5E5D87" w:rsidR="006D0762" w:rsidRPr="0050118C" w:rsidRDefault="0050118C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Zasady udziału mieszkańców i inwestorów w przygotowaniu dokumentów planistycznych, w tym zakres i formy konsultacji społecznych, wynikają z odrębnych przepisów i nie są ustalane w Strategii.</w:t>
            </w:r>
          </w:p>
        </w:tc>
      </w:tr>
      <w:tr w:rsidR="006D0762" w:rsidRPr="0050118C" w14:paraId="4AFBB529" w14:textId="77777777" w:rsidTr="0050118C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3780" w14:textId="45A923D4" w:rsidR="006D0762" w:rsidRPr="0050118C" w:rsidRDefault="006D0762" w:rsidP="006D0762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sz w:val="18"/>
                <w:szCs w:val="18"/>
              </w:rPr>
              <w:t>40.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2FFF" w14:textId="14670D99" w:rsidR="006D0762" w:rsidRPr="0050118C" w:rsidRDefault="006D0762" w:rsidP="0050118C">
            <w:pPr>
              <w:pStyle w:val="Akapitzlist"/>
              <w:ind w:left="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Część II, system realizacji Strategii, s. 92-95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3C33" w14:textId="508151AA" w:rsidR="006D0762" w:rsidRPr="0050118C" w:rsidRDefault="006D0762" w:rsidP="0050118C">
            <w:pPr>
              <w:spacing w:before="120"/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Skuteczność Strategii powinna być oceniana nie tylko przez liczbę podjętych działań, ale także przez ich rezultaty odczuwalne dla mieszkańców.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665" w14:textId="0C26D19C" w:rsidR="006D0762" w:rsidRPr="0050118C" w:rsidRDefault="006D0762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Dodać mierniki: liczba nowych mieszkań, powierzchnia uzbrojonych terenów, długość wybudowanych dróg i sieci obsługujących zabudowę oraz coroczna ocena spójności dokumentów planistycznych ze Strategią.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D987" w14:textId="78D7CB6B" w:rsidR="006D0762" w:rsidRPr="0050118C" w:rsidRDefault="000A4BE6" w:rsidP="0050118C">
            <w:pPr>
              <w:rPr>
                <w:rFonts w:ascii="Arial Nova Light" w:hAnsi="Arial Nova Light" w:cstheme="minorHAnsi"/>
                <w:color w:val="000000"/>
                <w:sz w:val="18"/>
                <w:szCs w:val="18"/>
              </w:rPr>
            </w:pPr>
            <w:r w:rsidRPr="0050118C">
              <w:rPr>
                <w:rFonts w:ascii="Arial Nova Light" w:hAnsi="Arial Nova Light" w:cstheme="minorHAnsi"/>
                <w:color w:val="000000"/>
                <w:sz w:val="18"/>
                <w:szCs w:val="18"/>
              </w:rPr>
              <w:t>Nie uwzględniono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E9A8" w14:textId="6874016E" w:rsidR="006D0762" w:rsidRPr="0050118C" w:rsidRDefault="000A4BE6" w:rsidP="0050118C">
            <w:pPr>
              <w:rPr>
                <w:rFonts w:ascii="Arial Nova Light" w:hAnsi="Arial Nova Light" w:cstheme="minorHAnsi"/>
                <w:sz w:val="18"/>
                <w:szCs w:val="18"/>
              </w:rPr>
            </w:pPr>
            <w:r w:rsidRPr="0050118C">
              <w:rPr>
                <w:rFonts w:ascii="Arial Nova Light" w:hAnsi="Arial Nova Light"/>
                <w:sz w:val="18"/>
                <w:szCs w:val="18"/>
              </w:rPr>
              <w:t>Nie rozszerzono zestawu wskaźników. W aktualizacji zachowuje się przyjęte cele i kierunki działań oraz powiązany z nimi system monitorowania, co umożliwia porównywalną ocenę realizacji Strategii w całym okresie.</w:t>
            </w:r>
          </w:p>
        </w:tc>
      </w:tr>
    </w:tbl>
    <w:p w14:paraId="12D4F3D8" w14:textId="77777777" w:rsidR="00502B10" w:rsidRPr="008F161D" w:rsidRDefault="00502B10" w:rsidP="00502B10">
      <w:pPr>
        <w:spacing w:after="0" w:line="254" w:lineRule="auto"/>
        <w:rPr>
          <w:rFonts w:ascii="Arial Nova Light" w:hAnsi="Arial Nova Light" w:cs="Times New Roman"/>
          <w:sz w:val="24"/>
          <w:szCs w:val="24"/>
        </w:rPr>
      </w:pPr>
    </w:p>
    <w:p w14:paraId="0E9B69A8" w14:textId="1E556B2D" w:rsidR="00502B10" w:rsidRPr="001217AA" w:rsidRDefault="00502B10" w:rsidP="00502B10">
      <w:pPr>
        <w:jc w:val="both"/>
        <w:rPr>
          <w:rFonts w:ascii="Arial Nova Light" w:hAnsi="Arial Nova Light" w:cs="Times New Roman"/>
          <w:sz w:val="24"/>
          <w:szCs w:val="24"/>
        </w:rPr>
      </w:pPr>
      <w:r w:rsidRPr="001217AA">
        <w:rPr>
          <w:rFonts w:ascii="Arial Nova Light" w:hAnsi="Arial Nova Light" w:cs="Times New Roman"/>
        </w:rPr>
        <w:t xml:space="preserve">W ramach konsultacji społecznych, w dniu </w:t>
      </w:r>
      <w:r w:rsidR="001217AA" w:rsidRPr="001217AA">
        <w:rPr>
          <w:rFonts w:ascii="Arial Nova Light" w:hAnsi="Arial Nova Light" w:cs="Times New Roman"/>
        </w:rPr>
        <w:t>21</w:t>
      </w:r>
      <w:r w:rsidRPr="001217AA">
        <w:rPr>
          <w:rFonts w:ascii="Arial Nova Light" w:hAnsi="Arial Nova Light" w:cs="Times New Roman"/>
        </w:rPr>
        <w:t xml:space="preserve"> </w:t>
      </w:r>
      <w:r w:rsidR="001217AA" w:rsidRPr="001217AA">
        <w:rPr>
          <w:rFonts w:ascii="Arial Nova Light" w:hAnsi="Arial Nova Light" w:cs="Times New Roman"/>
        </w:rPr>
        <w:t>sierpnia</w:t>
      </w:r>
      <w:r w:rsidRPr="001217AA">
        <w:rPr>
          <w:rFonts w:ascii="Arial Nova Light" w:hAnsi="Arial Nova Light" w:cs="Times New Roman"/>
        </w:rPr>
        <w:t xml:space="preserve"> 202</w:t>
      </w:r>
      <w:r w:rsidR="001217AA" w:rsidRPr="001217AA">
        <w:rPr>
          <w:rFonts w:ascii="Arial Nova Light" w:hAnsi="Arial Nova Light" w:cs="Times New Roman"/>
        </w:rPr>
        <w:t>6</w:t>
      </w:r>
      <w:r w:rsidRPr="001217AA">
        <w:rPr>
          <w:rFonts w:ascii="Arial Nova Light" w:hAnsi="Arial Nova Light" w:cs="Times New Roman"/>
        </w:rPr>
        <w:t xml:space="preserve"> roku o godzinie 1</w:t>
      </w:r>
      <w:r w:rsidR="001217AA" w:rsidRPr="001217AA">
        <w:rPr>
          <w:rFonts w:ascii="Arial Nova Light" w:hAnsi="Arial Nova Light" w:cs="Times New Roman"/>
        </w:rPr>
        <w:t>0</w:t>
      </w:r>
      <w:r w:rsidRPr="001217AA">
        <w:rPr>
          <w:rFonts w:ascii="Arial Nova Light" w:hAnsi="Arial Nova Light" w:cs="Times New Roman"/>
        </w:rPr>
        <w:t>:00 odbyło się spotkanie konsultacyjne projektu</w:t>
      </w:r>
      <w:r w:rsidR="001217AA" w:rsidRPr="001217AA">
        <w:rPr>
          <w:rFonts w:ascii="Arial Nova Light" w:hAnsi="Arial Nova Light" w:cs="Times New Roman"/>
        </w:rPr>
        <w:t xml:space="preserve"> aktualizacji</w:t>
      </w:r>
      <w:r w:rsidRPr="001217AA">
        <w:rPr>
          <w:rFonts w:ascii="Arial Nova Light" w:hAnsi="Arial Nova Light" w:cs="Times New Roman"/>
        </w:rPr>
        <w:t xml:space="preserve"> Strategii Rozwoju Gminy </w:t>
      </w:r>
      <w:r w:rsidR="001217AA" w:rsidRPr="001217AA">
        <w:rPr>
          <w:rFonts w:ascii="Arial Nova Light" w:hAnsi="Arial Nova Light" w:cs="Times New Roman"/>
        </w:rPr>
        <w:t>Pniewy na lata 2024–2033</w:t>
      </w:r>
      <w:r w:rsidRPr="001217AA">
        <w:rPr>
          <w:rFonts w:ascii="Arial Nova Light" w:hAnsi="Arial Nova Light" w:cs="Times New Roman"/>
        </w:rPr>
        <w:t xml:space="preserve">, w trybie online. Podczas prezentacji przedstawiono etapy prac nad </w:t>
      </w:r>
      <w:r w:rsidR="001217AA" w:rsidRPr="001217AA">
        <w:rPr>
          <w:rFonts w:ascii="Arial Nova Light" w:hAnsi="Arial Nova Light" w:cs="Times New Roman"/>
        </w:rPr>
        <w:t xml:space="preserve">aktualizacją </w:t>
      </w:r>
      <w:r w:rsidRPr="001217AA">
        <w:rPr>
          <w:rFonts w:ascii="Arial Nova Light" w:hAnsi="Arial Nova Light" w:cs="Times New Roman"/>
        </w:rPr>
        <w:t>strategi</w:t>
      </w:r>
      <w:r w:rsidR="001217AA" w:rsidRPr="001217AA">
        <w:rPr>
          <w:rFonts w:ascii="Arial Nova Light" w:hAnsi="Arial Nova Light" w:cs="Times New Roman"/>
        </w:rPr>
        <w:t>i</w:t>
      </w:r>
      <w:r w:rsidRPr="001217AA">
        <w:rPr>
          <w:rFonts w:ascii="Arial Nova Light" w:hAnsi="Arial Nova Light" w:cs="Times New Roman"/>
        </w:rPr>
        <w:t xml:space="preserve">, strukturę </w:t>
      </w:r>
      <w:r w:rsidR="001217AA" w:rsidRPr="001217AA">
        <w:rPr>
          <w:rFonts w:ascii="Arial Nova Light" w:hAnsi="Arial Nova Light" w:cs="Times New Roman"/>
        </w:rPr>
        <w:t xml:space="preserve">aktualizacji </w:t>
      </w:r>
      <w:r w:rsidRPr="001217AA">
        <w:rPr>
          <w:rFonts w:ascii="Arial Nova Light" w:hAnsi="Arial Nova Light" w:cs="Times New Roman"/>
        </w:rPr>
        <w:t xml:space="preserve">strategii. </w:t>
      </w:r>
    </w:p>
    <w:p w14:paraId="239FD2B1" w14:textId="0E3A1434" w:rsidR="006F7A8F" w:rsidRPr="006C1442" w:rsidRDefault="00502B10" w:rsidP="006C1442">
      <w:pPr>
        <w:spacing w:after="0" w:line="254" w:lineRule="auto"/>
        <w:jc w:val="both"/>
        <w:rPr>
          <w:rFonts w:ascii="Arial Nova Light" w:hAnsi="Arial Nova Light" w:cs="Times New Roman"/>
          <w:sz w:val="24"/>
          <w:szCs w:val="24"/>
        </w:rPr>
      </w:pPr>
      <w:r w:rsidRPr="001217AA">
        <w:rPr>
          <w:rFonts w:ascii="Arial Nova Light" w:hAnsi="Arial Nova Light" w:cs="Times New Roman"/>
        </w:rPr>
        <w:t>Serdecznie dziękujemy za Państwa zaangażowanie w proces konsultacji</w:t>
      </w:r>
      <w:r w:rsidR="006C1442" w:rsidRPr="001217AA">
        <w:rPr>
          <w:rFonts w:ascii="Arial Nova Light" w:hAnsi="Arial Nova Light" w:cs="Times New Roman"/>
        </w:rPr>
        <w:t>.</w:t>
      </w:r>
    </w:p>
    <w:sectPr w:rsidR="006F7A8F" w:rsidRPr="006C1442" w:rsidSect="001217A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9C934" w14:textId="77777777" w:rsidR="00675E1E" w:rsidRDefault="00675E1E" w:rsidP="0059677B">
      <w:pPr>
        <w:spacing w:after="0" w:line="240" w:lineRule="auto"/>
      </w:pPr>
      <w:r>
        <w:separator/>
      </w:r>
    </w:p>
  </w:endnote>
  <w:endnote w:type="continuationSeparator" w:id="0">
    <w:p w14:paraId="348F6965" w14:textId="77777777" w:rsidR="00675E1E" w:rsidRDefault="00675E1E" w:rsidP="00596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A0F0" w14:textId="77777777" w:rsidR="00675E1E" w:rsidRDefault="00675E1E" w:rsidP="0059677B">
      <w:pPr>
        <w:spacing w:after="0" w:line="240" w:lineRule="auto"/>
      </w:pPr>
      <w:r>
        <w:separator/>
      </w:r>
    </w:p>
  </w:footnote>
  <w:footnote w:type="continuationSeparator" w:id="0">
    <w:p w14:paraId="307E5CCE" w14:textId="77777777" w:rsidR="00675E1E" w:rsidRDefault="00675E1E" w:rsidP="00596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33B2"/>
    <w:multiLevelType w:val="hybridMultilevel"/>
    <w:tmpl w:val="CCFC89A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019C5"/>
    <w:multiLevelType w:val="hybridMultilevel"/>
    <w:tmpl w:val="80ACD2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B50C2"/>
    <w:multiLevelType w:val="hybridMultilevel"/>
    <w:tmpl w:val="EAD82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80E36"/>
    <w:multiLevelType w:val="hybridMultilevel"/>
    <w:tmpl w:val="FCAC0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952DC"/>
    <w:multiLevelType w:val="hybridMultilevel"/>
    <w:tmpl w:val="F06E37BA"/>
    <w:lvl w:ilvl="0" w:tplc="47DC4C1A">
      <w:start w:val="1"/>
      <w:numFmt w:val="decimal"/>
      <w:lvlText w:val="%1)"/>
      <w:lvlJc w:val="left"/>
      <w:pPr>
        <w:ind w:left="109" w:hanging="262"/>
      </w:pPr>
      <w:rPr>
        <w:rFonts w:hint="default"/>
        <w:w w:val="100"/>
        <w:lang w:val="pl-PL" w:eastAsia="en-US" w:bidi="ar-SA"/>
      </w:rPr>
    </w:lvl>
    <w:lvl w:ilvl="1" w:tplc="09185A56">
      <w:numFmt w:val="bullet"/>
      <w:lvlText w:val="•"/>
      <w:lvlJc w:val="left"/>
      <w:pPr>
        <w:ind w:left="634" w:hanging="262"/>
      </w:pPr>
      <w:rPr>
        <w:rFonts w:hint="default"/>
        <w:lang w:val="pl-PL" w:eastAsia="en-US" w:bidi="ar-SA"/>
      </w:rPr>
    </w:lvl>
    <w:lvl w:ilvl="2" w:tplc="F8662830">
      <w:numFmt w:val="bullet"/>
      <w:lvlText w:val="•"/>
      <w:lvlJc w:val="left"/>
      <w:pPr>
        <w:ind w:left="1169" w:hanging="262"/>
      </w:pPr>
      <w:rPr>
        <w:rFonts w:hint="default"/>
        <w:lang w:val="pl-PL" w:eastAsia="en-US" w:bidi="ar-SA"/>
      </w:rPr>
    </w:lvl>
    <w:lvl w:ilvl="3" w:tplc="2BC807BA">
      <w:numFmt w:val="bullet"/>
      <w:lvlText w:val="•"/>
      <w:lvlJc w:val="left"/>
      <w:pPr>
        <w:ind w:left="1704" w:hanging="262"/>
      </w:pPr>
      <w:rPr>
        <w:rFonts w:hint="default"/>
        <w:lang w:val="pl-PL" w:eastAsia="en-US" w:bidi="ar-SA"/>
      </w:rPr>
    </w:lvl>
    <w:lvl w:ilvl="4" w:tplc="ACDCFCBE">
      <w:numFmt w:val="bullet"/>
      <w:lvlText w:val="•"/>
      <w:lvlJc w:val="left"/>
      <w:pPr>
        <w:ind w:left="2239" w:hanging="262"/>
      </w:pPr>
      <w:rPr>
        <w:rFonts w:hint="default"/>
        <w:lang w:val="pl-PL" w:eastAsia="en-US" w:bidi="ar-SA"/>
      </w:rPr>
    </w:lvl>
    <w:lvl w:ilvl="5" w:tplc="D0A87C1C">
      <w:numFmt w:val="bullet"/>
      <w:lvlText w:val="•"/>
      <w:lvlJc w:val="left"/>
      <w:pPr>
        <w:ind w:left="2774" w:hanging="262"/>
      </w:pPr>
      <w:rPr>
        <w:rFonts w:hint="default"/>
        <w:lang w:val="pl-PL" w:eastAsia="en-US" w:bidi="ar-SA"/>
      </w:rPr>
    </w:lvl>
    <w:lvl w:ilvl="6" w:tplc="E5EAD2AC">
      <w:numFmt w:val="bullet"/>
      <w:lvlText w:val="•"/>
      <w:lvlJc w:val="left"/>
      <w:pPr>
        <w:ind w:left="3309" w:hanging="262"/>
      </w:pPr>
      <w:rPr>
        <w:rFonts w:hint="default"/>
        <w:lang w:val="pl-PL" w:eastAsia="en-US" w:bidi="ar-SA"/>
      </w:rPr>
    </w:lvl>
    <w:lvl w:ilvl="7" w:tplc="8988B262">
      <w:numFmt w:val="bullet"/>
      <w:lvlText w:val="•"/>
      <w:lvlJc w:val="left"/>
      <w:pPr>
        <w:ind w:left="3844" w:hanging="262"/>
      </w:pPr>
      <w:rPr>
        <w:rFonts w:hint="default"/>
        <w:lang w:val="pl-PL" w:eastAsia="en-US" w:bidi="ar-SA"/>
      </w:rPr>
    </w:lvl>
    <w:lvl w:ilvl="8" w:tplc="D2FED052">
      <w:numFmt w:val="bullet"/>
      <w:lvlText w:val="•"/>
      <w:lvlJc w:val="left"/>
      <w:pPr>
        <w:ind w:left="4379" w:hanging="262"/>
      </w:pPr>
      <w:rPr>
        <w:rFonts w:hint="default"/>
        <w:lang w:val="pl-PL" w:eastAsia="en-US" w:bidi="ar-SA"/>
      </w:rPr>
    </w:lvl>
  </w:abstractNum>
  <w:abstractNum w:abstractNumId="5" w15:restartNumberingAfterBreak="0">
    <w:nsid w:val="32424E62"/>
    <w:multiLevelType w:val="multilevel"/>
    <w:tmpl w:val="9438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3DAF123F"/>
    <w:multiLevelType w:val="hybridMultilevel"/>
    <w:tmpl w:val="3B72CC68"/>
    <w:lvl w:ilvl="0" w:tplc="5554F078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D5F4A6C0">
      <w:numFmt w:val="bullet"/>
      <w:lvlText w:val="•"/>
      <w:lvlJc w:val="left"/>
      <w:pPr>
        <w:ind w:left="1282" w:hanging="360"/>
      </w:pPr>
      <w:rPr>
        <w:rFonts w:hint="default"/>
        <w:lang w:val="pl-PL" w:eastAsia="en-US" w:bidi="ar-SA"/>
      </w:rPr>
    </w:lvl>
    <w:lvl w:ilvl="2" w:tplc="8AAC76BC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3" w:tplc="90B28180">
      <w:numFmt w:val="bullet"/>
      <w:lvlText w:val="•"/>
      <w:lvlJc w:val="left"/>
      <w:pPr>
        <w:ind w:left="2208" w:hanging="360"/>
      </w:pPr>
      <w:rPr>
        <w:rFonts w:hint="default"/>
        <w:lang w:val="pl-PL" w:eastAsia="en-US" w:bidi="ar-SA"/>
      </w:rPr>
    </w:lvl>
    <w:lvl w:ilvl="4" w:tplc="7FE037AA">
      <w:numFmt w:val="bullet"/>
      <w:lvlText w:val="•"/>
      <w:lvlJc w:val="left"/>
      <w:pPr>
        <w:ind w:left="2671" w:hanging="360"/>
      </w:pPr>
      <w:rPr>
        <w:rFonts w:hint="default"/>
        <w:lang w:val="pl-PL" w:eastAsia="en-US" w:bidi="ar-SA"/>
      </w:rPr>
    </w:lvl>
    <w:lvl w:ilvl="5" w:tplc="CEBED944">
      <w:numFmt w:val="bullet"/>
      <w:lvlText w:val="•"/>
      <w:lvlJc w:val="left"/>
      <w:pPr>
        <w:ind w:left="3134" w:hanging="360"/>
      </w:pPr>
      <w:rPr>
        <w:rFonts w:hint="default"/>
        <w:lang w:val="pl-PL" w:eastAsia="en-US" w:bidi="ar-SA"/>
      </w:rPr>
    </w:lvl>
    <w:lvl w:ilvl="6" w:tplc="ACD85B66">
      <w:numFmt w:val="bullet"/>
      <w:lvlText w:val="•"/>
      <w:lvlJc w:val="left"/>
      <w:pPr>
        <w:ind w:left="3597" w:hanging="360"/>
      </w:pPr>
      <w:rPr>
        <w:rFonts w:hint="default"/>
        <w:lang w:val="pl-PL" w:eastAsia="en-US" w:bidi="ar-SA"/>
      </w:rPr>
    </w:lvl>
    <w:lvl w:ilvl="7" w:tplc="B4C8122A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8" w:tplc="35A08E68">
      <w:numFmt w:val="bullet"/>
      <w:lvlText w:val="•"/>
      <w:lvlJc w:val="left"/>
      <w:pPr>
        <w:ind w:left="452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46E03B65"/>
    <w:multiLevelType w:val="multilevel"/>
    <w:tmpl w:val="9A20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54674720"/>
    <w:multiLevelType w:val="hybridMultilevel"/>
    <w:tmpl w:val="51103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66C1D"/>
    <w:multiLevelType w:val="multilevel"/>
    <w:tmpl w:val="ADF2C0E6"/>
    <w:lvl w:ilvl="0">
      <w:numFmt w:val="bullet"/>
      <w:lvlText w:val="-"/>
      <w:lvlJc w:val="left"/>
      <w:rPr>
        <w:rFonts w:ascii="Calibri" w:eastAsia="Times New Roman" w:hAnsi="Calibri" w:cs="Calibri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5B26D07"/>
    <w:multiLevelType w:val="hybridMultilevel"/>
    <w:tmpl w:val="CAD6EB58"/>
    <w:lvl w:ilvl="0" w:tplc="32E87C64">
      <w:numFmt w:val="bullet"/>
      <w:lvlText w:val="•"/>
      <w:lvlJc w:val="left"/>
      <w:pPr>
        <w:ind w:left="109" w:hanging="20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en-US" w:bidi="ar-SA"/>
      </w:rPr>
    </w:lvl>
    <w:lvl w:ilvl="1" w:tplc="9D8C6ABE">
      <w:numFmt w:val="bullet"/>
      <w:lvlText w:val="•"/>
      <w:lvlJc w:val="left"/>
      <w:pPr>
        <w:ind w:left="634" w:hanging="205"/>
      </w:pPr>
      <w:rPr>
        <w:rFonts w:hint="default"/>
        <w:lang w:val="pl-PL" w:eastAsia="en-US" w:bidi="ar-SA"/>
      </w:rPr>
    </w:lvl>
    <w:lvl w:ilvl="2" w:tplc="62CC9296">
      <w:numFmt w:val="bullet"/>
      <w:lvlText w:val="•"/>
      <w:lvlJc w:val="left"/>
      <w:pPr>
        <w:ind w:left="1169" w:hanging="205"/>
      </w:pPr>
      <w:rPr>
        <w:rFonts w:hint="default"/>
        <w:lang w:val="pl-PL" w:eastAsia="en-US" w:bidi="ar-SA"/>
      </w:rPr>
    </w:lvl>
    <w:lvl w:ilvl="3" w:tplc="2F4E2956">
      <w:numFmt w:val="bullet"/>
      <w:lvlText w:val="•"/>
      <w:lvlJc w:val="left"/>
      <w:pPr>
        <w:ind w:left="1704" w:hanging="205"/>
      </w:pPr>
      <w:rPr>
        <w:rFonts w:hint="default"/>
        <w:lang w:val="pl-PL" w:eastAsia="en-US" w:bidi="ar-SA"/>
      </w:rPr>
    </w:lvl>
    <w:lvl w:ilvl="4" w:tplc="25F45602">
      <w:numFmt w:val="bullet"/>
      <w:lvlText w:val="•"/>
      <w:lvlJc w:val="left"/>
      <w:pPr>
        <w:ind w:left="2239" w:hanging="205"/>
      </w:pPr>
      <w:rPr>
        <w:rFonts w:hint="default"/>
        <w:lang w:val="pl-PL" w:eastAsia="en-US" w:bidi="ar-SA"/>
      </w:rPr>
    </w:lvl>
    <w:lvl w:ilvl="5" w:tplc="E800027E">
      <w:numFmt w:val="bullet"/>
      <w:lvlText w:val="•"/>
      <w:lvlJc w:val="left"/>
      <w:pPr>
        <w:ind w:left="2774" w:hanging="205"/>
      </w:pPr>
      <w:rPr>
        <w:rFonts w:hint="default"/>
        <w:lang w:val="pl-PL" w:eastAsia="en-US" w:bidi="ar-SA"/>
      </w:rPr>
    </w:lvl>
    <w:lvl w:ilvl="6" w:tplc="0160FBF4">
      <w:numFmt w:val="bullet"/>
      <w:lvlText w:val="•"/>
      <w:lvlJc w:val="left"/>
      <w:pPr>
        <w:ind w:left="3309" w:hanging="205"/>
      </w:pPr>
      <w:rPr>
        <w:rFonts w:hint="default"/>
        <w:lang w:val="pl-PL" w:eastAsia="en-US" w:bidi="ar-SA"/>
      </w:rPr>
    </w:lvl>
    <w:lvl w:ilvl="7" w:tplc="50065B7E">
      <w:numFmt w:val="bullet"/>
      <w:lvlText w:val="•"/>
      <w:lvlJc w:val="left"/>
      <w:pPr>
        <w:ind w:left="3844" w:hanging="205"/>
      </w:pPr>
      <w:rPr>
        <w:rFonts w:hint="default"/>
        <w:lang w:val="pl-PL" w:eastAsia="en-US" w:bidi="ar-SA"/>
      </w:rPr>
    </w:lvl>
    <w:lvl w:ilvl="8" w:tplc="5A669220">
      <w:numFmt w:val="bullet"/>
      <w:lvlText w:val="•"/>
      <w:lvlJc w:val="left"/>
      <w:pPr>
        <w:ind w:left="4379" w:hanging="205"/>
      </w:pPr>
      <w:rPr>
        <w:rFonts w:hint="default"/>
        <w:lang w:val="pl-PL" w:eastAsia="en-US" w:bidi="ar-SA"/>
      </w:rPr>
    </w:lvl>
  </w:abstractNum>
  <w:abstractNum w:abstractNumId="11" w15:restartNumberingAfterBreak="0">
    <w:nsid w:val="7F412206"/>
    <w:multiLevelType w:val="hybridMultilevel"/>
    <w:tmpl w:val="D88A9EEC"/>
    <w:lvl w:ilvl="0" w:tplc="D55CD39E">
      <w:start w:val="2"/>
      <w:numFmt w:val="bullet"/>
      <w:lvlText w:val="-"/>
      <w:lvlJc w:val="left"/>
      <w:pPr>
        <w:ind w:left="0" w:firstLine="0"/>
      </w:pPr>
      <w:rPr>
        <w:rFonts w:ascii="Calibri" w:eastAsia="Times New Roman" w:hAnsi="Calibri" w:cs="Calibri" w:hint="default"/>
        <w:sz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397970">
    <w:abstractNumId w:val="0"/>
  </w:num>
  <w:num w:numId="2" w16cid:durableId="1185366686">
    <w:abstractNumId w:val="5"/>
  </w:num>
  <w:num w:numId="3" w16cid:durableId="1637955100">
    <w:abstractNumId w:val="7"/>
  </w:num>
  <w:num w:numId="4" w16cid:durableId="1788237473">
    <w:abstractNumId w:val="2"/>
  </w:num>
  <w:num w:numId="5" w16cid:durableId="440954751">
    <w:abstractNumId w:val="6"/>
  </w:num>
  <w:num w:numId="6" w16cid:durableId="1861777597">
    <w:abstractNumId w:val="4"/>
  </w:num>
  <w:num w:numId="7" w16cid:durableId="1663966720">
    <w:abstractNumId w:val="10"/>
  </w:num>
  <w:num w:numId="8" w16cid:durableId="218129748">
    <w:abstractNumId w:val="3"/>
  </w:num>
  <w:num w:numId="9" w16cid:durableId="287786292">
    <w:abstractNumId w:val="8"/>
  </w:num>
  <w:num w:numId="10" w16cid:durableId="70780867">
    <w:abstractNumId w:val="1"/>
  </w:num>
  <w:num w:numId="11" w16cid:durableId="592788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8439239">
    <w:abstractNumId w:val="11"/>
  </w:num>
  <w:num w:numId="13" w16cid:durableId="1162887853">
    <w:abstractNumId w:val="9"/>
  </w:num>
  <w:num w:numId="14" w16cid:durableId="1135832563">
    <w:abstractNumId w:val="11"/>
  </w:num>
  <w:num w:numId="15" w16cid:durableId="1758597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52"/>
    <w:rsid w:val="00002F60"/>
    <w:rsid w:val="00057077"/>
    <w:rsid w:val="000A4BE6"/>
    <w:rsid w:val="000C6D91"/>
    <w:rsid w:val="000E0A5D"/>
    <w:rsid w:val="000F4BC6"/>
    <w:rsid w:val="000F7269"/>
    <w:rsid w:val="001217AA"/>
    <w:rsid w:val="00122141"/>
    <w:rsid w:val="00124CF0"/>
    <w:rsid w:val="00131168"/>
    <w:rsid w:val="00142F18"/>
    <w:rsid w:val="00154A75"/>
    <w:rsid w:val="00157898"/>
    <w:rsid w:val="0018452D"/>
    <w:rsid w:val="00193474"/>
    <w:rsid w:val="0019391B"/>
    <w:rsid w:val="001A4652"/>
    <w:rsid w:val="001C4012"/>
    <w:rsid w:val="001D34EC"/>
    <w:rsid w:val="001D682F"/>
    <w:rsid w:val="001E43ED"/>
    <w:rsid w:val="002023D0"/>
    <w:rsid w:val="00236EB7"/>
    <w:rsid w:val="00245053"/>
    <w:rsid w:val="002461E0"/>
    <w:rsid w:val="00265D25"/>
    <w:rsid w:val="00275040"/>
    <w:rsid w:val="00285B06"/>
    <w:rsid w:val="00290ADC"/>
    <w:rsid w:val="002E65C2"/>
    <w:rsid w:val="002F4003"/>
    <w:rsid w:val="003029C4"/>
    <w:rsid w:val="0030407A"/>
    <w:rsid w:val="00316C0D"/>
    <w:rsid w:val="00395CD3"/>
    <w:rsid w:val="003E5249"/>
    <w:rsid w:val="003F6958"/>
    <w:rsid w:val="00441D2B"/>
    <w:rsid w:val="00447C3E"/>
    <w:rsid w:val="004B67E6"/>
    <w:rsid w:val="004D3A16"/>
    <w:rsid w:val="004D6B7C"/>
    <w:rsid w:val="004E49AE"/>
    <w:rsid w:val="004F39A4"/>
    <w:rsid w:val="0050118C"/>
    <w:rsid w:val="00502B10"/>
    <w:rsid w:val="00506C68"/>
    <w:rsid w:val="00537E33"/>
    <w:rsid w:val="005511DC"/>
    <w:rsid w:val="00552862"/>
    <w:rsid w:val="00553E04"/>
    <w:rsid w:val="00570CD5"/>
    <w:rsid w:val="0058456D"/>
    <w:rsid w:val="0059677B"/>
    <w:rsid w:val="005A75E3"/>
    <w:rsid w:val="005D2D9C"/>
    <w:rsid w:val="005E27A6"/>
    <w:rsid w:val="00601AF3"/>
    <w:rsid w:val="0062465C"/>
    <w:rsid w:val="00637152"/>
    <w:rsid w:val="00666CAA"/>
    <w:rsid w:val="00675E1E"/>
    <w:rsid w:val="00680403"/>
    <w:rsid w:val="00683245"/>
    <w:rsid w:val="00683A77"/>
    <w:rsid w:val="0069481A"/>
    <w:rsid w:val="006B155D"/>
    <w:rsid w:val="006B7F5D"/>
    <w:rsid w:val="006C1442"/>
    <w:rsid w:val="006D0762"/>
    <w:rsid w:val="006F7A8F"/>
    <w:rsid w:val="0070315A"/>
    <w:rsid w:val="0072763D"/>
    <w:rsid w:val="00745373"/>
    <w:rsid w:val="007502AA"/>
    <w:rsid w:val="00754FAE"/>
    <w:rsid w:val="00761963"/>
    <w:rsid w:val="00792257"/>
    <w:rsid w:val="007B4092"/>
    <w:rsid w:val="007E13AC"/>
    <w:rsid w:val="00810896"/>
    <w:rsid w:val="00865697"/>
    <w:rsid w:val="00870048"/>
    <w:rsid w:val="0087019B"/>
    <w:rsid w:val="008E1892"/>
    <w:rsid w:val="008F161D"/>
    <w:rsid w:val="00947DF2"/>
    <w:rsid w:val="009638C6"/>
    <w:rsid w:val="009B0BF2"/>
    <w:rsid w:val="009B0CC5"/>
    <w:rsid w:val="009B24C2"/>
    <w:rsid w:val="00A0627B"/>
    <w:rsid w:val="00A1241D"/>
    <w:rsid w:val="00A46514"/>
    <w:rsid w:val="00A564F1"/>
    <w:rsid w:val="00A63399"/>
    <w:rsid w:val="00A851A2"/>
    <w:rsid w:val="00A871BF"/>
    <w:rsid w:val="00A96018"/>
    <w:rsid w:val="00AA0EA9"/>
    <w:rsid w:val="00AC03D8"/>
    <w:rsid w:val="00B00412"/>
    <w:rsid w:val="00B168CD"/>
    <w:rsid w:val="00B45D70"/>
    <w:rsid w:val="00B477AF"/>
    <w:rsid w:val="00B7152C"/>
    <w:rsid w:val="00BA6874"/>
    <w:rsid w:val="00BA73A7"/>
    <w:rsid w:val="00C15256"/>
    <w:rsid w:val="00C179AA"/>
    <w:rsid w:val="00C60919"/>
    <w:rsid w:val="00C64847"/>
    <w:rsid w:val="00C769F0"/>
    <w:rsid w:val="00C817B5"/>
    <w:rsid w:val="00C94154"/>
    <w:rsid w:val="00C9650A"/>
    <w:rsid w:val="00CA7B8D"/>
    <w:rsid w:val="00CD0DB4"/>
    <w:rsid w:val="00CD2901"/>
    <w:rsid w:val="00CD6F6B"/>
    <w:rsid w:val="00CF388B"/>
    <w:rsid w:val="00D1151A"/>
    <w:rsid w:val="00D2159D"/>
    <w:rsid w:val="00D518A8"/>
    <w:rsid w:val="00D71821"/>
    <w:rsid w:val="00D9014B"/>
    <w:rsid w:val="00DB4120"/>
    <w:rsid w:val="00DC6874"/>
    <w:rsid w:val="00DD68C4"/>
    <w:rsid w:val="00E35DB0"/>
    <w:rsid w:val="00E47D5C"/>
    <w:rsid w:val="00E47FB6"/>
    <w:rsid w:val="00E533CE"/>
    <w:rsid w:val="00E86EA5"/>
    <w:rsid w:val="00EB1FB2"/>
    <w:rsid w:val="00EB3F2B"/>
    <w:rsid w:val="00EC4405"/>
    <w:rsid w:val="00EF2866"/>
    <w:rsid w:val="00F17F27"/>
    <w:rsid w:val="00F35AC5"/>
    <w:rsid w:val="00F60062"/>
    <w:rsid w:val="00F7090B"/>
    <w:rsid w:val="00FB702B"/>
    <w:rsid w:val="00FC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5852"/>
  <w15:chartTrackingRefBased/>
  <w15:docId w15:val="{63B2109C-86BB-4B96-A228-A11615D4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1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0315A"/>
    <w:pPr>
      <w:ind w:left="720"/>
      <w:contextualSpacing/>
    </w:pPr>
  </w:style>
  <w:style w:type="character" w:styleId="Hipercze">
    <w:name w:val="Hyperlink"/>
    <w:basedOn w:val="Domylnaczcionkaakapitu"/>
    <w:unhideWhenUsed/>
    <w:rsid w:val="001A465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465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9B2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F39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link w:val="Akapitzlist"/>
    <w:uiPriority w:val="34"/>
    <w:qFormat/>
    <w:locked/>
    <w:rsid w:val="006F7A8F"/>
  </w:style>
  <w:style w:type="paragraph" w:customStyle="1" w:styleId="Standard">
    <w:name w:val="Standard"/>
    <w:rsid w:val="000C6D91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677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677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67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65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65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65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5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5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77BA4-D613-41A6-96D8-00911D00D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11</Pages>
  <Words>4949</Words>
  <Characters>29694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 Nowacka</dc:creator>
  <cp:keywords/>
  <dc:description/>
  <cp:lastModifiedBy>Aleksandra Kużdowicz</cp:lastModifiedBy>
  <cp:revision>28</cp:revision>
  <dcterms:created xsi:type="dcterms:W3CDTF">2022-03-21T09:14:00Z</dcterms:created>
  <dcterms:modified xsi:type="dcterms:W3CDTF">2026-09-24T10:11:00Z</dcterms:modified>
</cp:coreProperties>
</file>